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9DBC" w14:textId="77777777" w:rsidR="00460671" w:rsidRPr="00887D1E" w:rsidRDefault="00460671" w:rsidP="00460671">
      <w:pPr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A8F2F34" w14:textId="77777777" w:rsidR="00460671" w:rsidRPr="00CE6EF6" w:rsidRDefault="00460671" w:rsidP="00460671">
      <w:pPr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ascii="Times New Roman" w:hAnsi="Times New Roman" w:cs="Times New Roman"/>
          <w:color w:val="1F287D"/>
          <w:sz w:val="28"/>
          <w:szCs w:val="28"/>
          <w:lang w:val="en-GB"/>
        </w:rPr>
      </w:pPr>
      <w:r w:rsidRPr="00CE6EF6"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 xml:space="preserve">HORIZON EUROPE </w:t>
      </w:r>
      <w:r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>R</w:t>
      </w:r>
      <w:r w:rsidRPr="00CE6EF6"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>esearch</w:t>
      </w:r>
      <w:r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 xml:space="preserve"> and Innovation F</w:t>
      </w:r>
      <w:r w:rsidRPr="00CE6EF6"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 xml:space="preserve">ramework </w:t>
      </w:r>
      <w:r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>P</w:t>
      </w:r>
      <w:r w:rsidRPr="00CE6EF6"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>rogramme</w:t>
      </w:r>
    </w:p>
    <w:p w14:paraId="7212CC08" w14:textId="77777777" w:rsidR="00460671" w:rsidRPr="00CE6EF6" w:rsidRDefault="00460671" w:rsidP="00460671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</w:pPr>
      <w:r w:rsidRPr="00CE6EF6">
        <w:rPr>
          <w:rFonts w:ascii="Times New Roman" w:hAnsi="Times New Roman" w:cs="Times New Roman"/>
          <w:b/>
          <w:bCs/>
          <w:color w:val="1F287D"/>
          <w:sz w:val="28"/>
          <w:szCs w:val="28"/>
          <w:lang w:val="en-GB"/>
        </w:rPr>
        <w:t>MARIE SKŁODOWSKA-CURIE ACTIONS</w:t>
      </w:r>
    </w:p>
    <w:p w14:paraId="562A4F8F" w14:textId="77777777" w:rsidR="00460671" w:rsidRPr="00CE6EF6" w:rsidRDefault="00460671" w:rsidP="00460671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1F287D"/>
          <w:sz w:val="24"/>
          <w:szCs w:val="24"/>
          <w:lang w:val="en-GB"/>
        </w:rPr>
      </w:pPr>
    </w:p>
    <w:p w14:paraId="303AF625" w14:textId="7A0063C4" w:rsidR="00460671" w:rsidRPr="00CE6EF6" w:rsidRDefault="00511391" w:rsidP="00460671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1F287D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1F287D"/>
          <w:sz w:val="24"/>
          <w:szCs w:val="24"/>
          <w:lang w:val="en-GB"/>
        </w:rPr>
        <w:t>INVITATION TO APPLY FOR</w:t>
      </w:r>
    </w:p>
    <w:p w14:paraId="09E0486B" w14:textId="6237941B" w:rsidR="005B6141" w:rsidRPr="00B813A5" w:rsidRDefault="00460671" w:rsidP="00460671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aps/>
          <w:color w:val="1F287D"/>
          <w:sz w:val="24"/>
          <w:szCs w:val="24"/>
          <w:lang w:val="en-GB"/>
        </w:rPr>
      </w:pPr>
      <w:r w:rsidRPr="00B813A5">
        <w:rPr>
          <w:rFonts w:ascii="Times New Roman" w:hAnsi="Times New Roman" w:cs="Times New Roman"/>
          <w:b/>
          <w:bCs/>
          <w:caps/>
          <w:color w:val="1F287D"/>
          <w:sz w:val="24"/>
          <w:szCs w:val="24"/>
          <w:lang w:val="en-GB"/>
        </w:rPr>
        <w:t xml:space="preserve">Postdoctoral Fellowships </w:t>
      </w:r>
      <w:r w:rsidR="00511391" w:rsidRPr="00B813A5">
        <w:rPr>
          <w:rFonts w:ascii="Times New Roman" w:hAnsi="Times New Roman" w:cs="Times New Roman"/>
          <w:b/>
          <w:bCs/>
          <w:caps/>
          <w:color w:val="1F287D"/>
          <w:sz w:val="24"/>
          <w:szCs w:val="24"/>
          <w:lang w:val="en-GB"/>
        </w:rPr>
        <w:t>2022</w:t>
      </w:r>
    </w:p>
    <w:p w14:paraId="18F2F242" w14:textId="20001B21" w:rsidR="00460671" w:rsidRPr="00CE6EF6" w:rsidRDefault="0049782E" w:rsidP="0049782E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color w:val="1F287D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color w:val="1F287D"/>
          <w:sz w:val="24"/>
          <w:szCs w:val="24"/>
          <w:lang w:val="en-GB"/>
        </w:rPr>
        <w:drawing>
          <wp:inline distT="0" distB="0" distL="0" distR="0" wp14:anchorId="78103279" wp14:editId="3CAF2B47">
            <wp:extent cx="5248910" cy="290195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3371"/>
        <w:gridCol w:w="6411"/>
      </w:tblGrid>
      <w:tr w:rsidR="006078C8" w:rsidRPr="006078C8" w14:paraId="135F34BF" w14:textId="77777777" w:rsidTr="6ABBDE6D">
        <w:tc>
          <w:tcPr>
            <w:tcW w:w="3371" w:type="dxa"/>
          </w:tcPr>
          <w:p w14:paraId="3B4484F9" w14:textId="6FA963F1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Organisation Name/ Department</w:t>
            </w:r>
            <w:r w:rsidR="008A58CF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411" w:type="dxa"/>
          </w:tcPr>
          <w:p w14:paraId="4EAE2ABC" w14:textId="0C625396" w:rsidR="00460671" w:rsidRPr="006078C8" w:rsidRDefault="00456175" w:rsidP="00F2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Czech University of Life Sciences Prague</w:t>
            </w:r>
            <w:r w:rsidR="00CA1E3B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/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Faculty of Engineering</w:t>
            </w:r>
            <w:r w:rsidR="00E4350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, </w:t>
            </w:r>
            <w:r w:rsidR="00E4350F" w:rsidRPr="00E4350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Department of Electrical Engineering and Automation</w:t>
            </w:r>
            <w:r w:rsid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, </w:t>
            </w:r>
            <w:r w:rsidR="005033FD" w:rsidRP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Department of Agricultural Machines</w:t>
            </w:r>
          </w:p>
          <w:p w14:paraId="41451C65" w14:textId="77777777" w:rsidR="00460671" w:rsidRPr="006078C8" w:rsidRDefault="00460671" w:rsidP="00221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</w:p>
        </w:tc>
      </w:tr>
      <w:tr w:rsidR="006078C8" w:rsidRPr="006078C8" w14:paraId="07BC3EE1" w14:textId="77777777" w:rsidTr="6ABBDE6D">
        <w:tc>
          <w:tcPr>
            <w:tcW w:w="3371" w:type="dxa"/>
          </w:tcPr>
          <w:p w14:paraId="68C533D5" w14:textId="3B1CF8AD" w:rsidR="00460671" w:rsidRPr="006078C8" w:rsidRDefault="00460671" w:rsidP="006078C8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Website of the organisation</w:t>
            </w:r>
            <w:r w:rsidR="008A58CF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411" w:type="dxa"/>
          </w:tcPr>
          <w:p w14:paraId="0C83AE1E" w14:textId="1C7C08DC" w:rsidR="00460671" w:rsidRPr="006078C8" w:rsidRDefault="000B0B96" w:rsidP="00F2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hyperlink r:id="rId13" w:history="1">
              <w:r w:rsidR="006078C8" w:rsidRPr="006078C8">
                <w:rPr>
                  <w:rStyle w:val="Hypertextovodkaz"/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t>https://www.tf.czu.cz/en</w:t>
              </w:r>
            </w:hyperlink>
          </w:p>
          <w:p w14:paraId="59F1DAE9" w14:textId="77777777" w:rsidR="006078C8" w:rsidRPr="006078C8" w:rsidRDefault="006078C8" w:rsidP="00607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https://www.facebook.com/tf.czu.cz</w:t>
            </w:r>
          </w:p>
          <w:p w14:paraId="7062574E" w14:textId="2E67F822" w:rsidR="006078C8" w:rsidRPr="006078C8" w:rsidRDefault="006078C8" w:rsidP="00607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https://www.instagram.com/tfczucz/</w:t>
            </w:r>
          </w:p>
        </w:tc>
      </w:tr>
      <w:tr w:rsidR="006078C8" w:rsidRPr="006078C8" w14:paraId="70E59647" w14:textId="77777777" w:rsidTr="6ABBDE6D">
        <w:tc>
          <w:tcPr>
            <w:tcW w:w="3371" w:type="dxa"/>
          </w:tcPr>
          <w:p w14:paraId="0989C3FE" w14:textId="77777777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Research Fields</w:t>
            </w:r>
          </w:p>
        </w:tc>
        <w:tc>
          <w:tcPr>
            <w:tcW w:w="6411" w:type="dxa"/>
          </w:tcPr>
          <w:p w14:paraId="05309E0D" w14:textId="20FCB6DD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495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5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Chemistry (CHE)</w:t>
            </w:r>
          </w:p>
          <w:p w14:paraId="352C03BC" w14:textId="77777777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15054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71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Social Sciences and Humanities (SOC)</w:t>
            </w:r>
          </w:p>
          <w:p w14:paraId="749800CF" w14:textId="77777777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16510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71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Economic Sciences (ECO)</w:t>
            </w:r>
          </w:p>
          <w:p w14:paraId="06640A47" w14:textId="13115175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188725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6B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☒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Information Science and Engineering (ENG)</w:t>
            </w:r>
          </w:p>
          <w:p w14:paraId="46EAE9AF" w14:textId="3835770D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1540240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99F">
                  <w:rPr>
                    <w:rFonts w:ascii="MS Gothic" w:eastAsia="MS Gothic" w:hAnsi="MS Gothic" w:cs="Segoe UI Symbol" w:hint="eastAsia"/>
                    <w:color w:val="002060"/>
                    <w:sz w:val="24"/>
                    <w:szCs w:val="24"/>
                    <w:lang w:val="en-GB"/>
                  </w:rPr>
                  <w:t>☒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Environment and Geosciences (ENV)</w:t>
            </w:r>
          </w:p>
          <w:p w14:paraId="3D13B8A3" w14:textId="22EEA0BC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2124723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6B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☒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Life Sciences (LIF)</w:t>
            </w:r>
          </w:p>
          <w:p w14:paraId="389F2BCB" w14:textId="77777777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15384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71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 xml:space="preserve">Mathematics (MAT) </w:t>
            </w:r>
          </w:p>
          <w:p w14:paraId="4D5FD7C6" w14:textId="77777777" w:rsidR="00460671" w:rsidRPr="006078C8" w:rsidRDefault="000B0B96" w:rsidP="00F26B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-6754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71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460671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 w:eastAsia="bg-BG"/>
              </w:rPr>
              <w:t>Physics (PHY)</w:t>
            </w:r>
          </w:p>
        </w:tc>
      </w:tr>
      <w:tr w:rsidR="006078C8" w:rsidRPr="006078C8" w14:paraId="73B5BD8C" w14:textId="77777777" w:rsidTr="6ABBDE6D">
        <w:tc>
          <w:tcPr>
            <w:tcW w:w="3371" w:type="dxa"/>
          </w:tcPr>
          <w:p w14:paraId="32C30958" w14:textId="287C1421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Sub-Fields/ Keywords </w:t>
            </w:r>
          </w:p>
        </w:tc>
        <w:tc>
          <w:tcPr>
            <w:tcW w:w="6411" w:type="dxa"/>
          </w:tcPr>
          <w:p w14:paraId="61AE3861" w14:textId="2613D2A6" w:rsidR="00460671" w:rsidRPr="006078C8" w:rsidRDefault="00887D1E" w:rsidP="00F2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Precision agriculture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, </w:t>
            </w:r>
            <w:r w:rsid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Robotics, Autonomous vehicles, </w:t>
            </w:r>
            <w:proofErr w:type="spellStart"/>
            <w:r w:rsid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</w:t>
            </w:r>
            <w:r w:rsidR="005033FD" w:rsidRP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grivoltaic</w:t>
            </w:r>
            <w:proofErr w:type="spellEnd"/>
            <w:r w:rsidR="005033FD" w:rsidRPr="005033F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system</w:t>
            </w:r>
            <w:r w:rsidR="00BD399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s, </w:t>
            </w:r>
            <w:r w:rsidR="009A7A1A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Digital twin, 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Discrete </w:t>
            </w:r>
            <w:r w:rsidR="00810858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lement </w:t>
            </w:r>
            <w:r w:rsidR="00810858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ethod, Finite </w:t>
            </w:r>
            <w:r w:rsidR="00810858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lement </w:t>
            </w:r>
            <w:r w:rsidR="00810858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</w:t>
            </w:r>
            <w:r w:rsidR="00B62BB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ethod, </w:t>
            </w:r>
            <w:r w:rsidR="00810858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Abrasive wear</w:t>
            </w:r>
            <w:r w:rsidR="00276CD4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modelling</w:t>
            </w:r>
          </w:p>
        </w:tc>
      </w:tr>
      <w:tr w:rsidR="006078C8" w:rsidRPr="006078C8" w14:paraId="4B794318" w14:textId="77777777" w:rsidTr="6ABBDE6D">
        <w:tc>
          <w:tcPr>
            <w:tcW w:w="3371" w:type="dxa"/>
          </w:tcPr>
          <w:p w14:paraId="1E359BAC" w14:textId="77777777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Marie </w:t>
            </w:r>
            <w:proofErr w:type="spellStart"/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Skłodowska</w:t>
            </w:r>
            <w:proofErr w:type="spellEnd"/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-Curie Action(s) of interest</w:t>
            </w:r>
          </w:p>
        </w:tc>
        <w:tc>
          <w:tcPr>
            <w:tcW w:w="6411" w:type="dxa"/>
          </w:tcPr>
          <w:p w14:paraId="79393983" w14:textId="5A87B5AB" w:rsidR="00503F3B" w:rsidRPr="006078C8" w:rsidRDefault="000B0B96" w:rsidP="0049782E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-1941212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6B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☒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r w:rsidR="00FB427B" w:rsidRPr="006078C8">
              <w:rPr>
                <w:rFonts w:ascii="Times New Roman" w:eastAsia="MS Gothic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European Postdoctoral Fellowships</w:t>
            </w:r>
            <w:r w:rsidR="00460671" w:rsidRPr="006078C8">
              <w:rPr>
                <w:rFonts w:ascii="Times New Roman" w:eastAsia="MS Gothic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(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European nationals or long-term residents working on R&amp;I projects with</w:t>
            </w:r>
            <w:r w:rsidR="00D16C94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organisations outside EU Member States and Horizon</w:t>
            </w:r>
            <w:r w:rsidR="00D16C94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Europe Associated Countries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)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.</w:t>
            </w:r>
          </w:p>
          <w:p w14:paraId="69D952F6" w14:textId="425203E2" w:rsidR="00503F3B" w:rsidRPr="006078C8" w:rsidRDefault="00503F3B" w:rsidP="0049782E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</w:pPr>
            <w:r w:rsidRPr="007E7783">
              <w:rPr>
                <w:rFonts w:ascii="Times New Roman" w:eastAsia="MS Gothic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GB"/>
              </w:rPr>
              <w:lastRenderedPageBreak/>
              <w:t>Duration</w:t>
            </w: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: 24-36 months (12-24 months outgoing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phase in a non-associated Third Country</w:t>
            </w:r>
            <w:r w:rsidR="008E0052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(TC)</w:t>
            </w: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&amp;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12 months mandatory return phase to a host</w:t>
            </w:r>
          </w:p>
          <w:p w14:paraId="09A1DA0C" w14:textId="5150894C" w:rsidR="00460671" w:rsidRPr="006078C8" w:rsidRDefault="00503F3B" w:rsidP="00503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organisation in Europe)</w:t>
            </w:r>
            <w:r w:rsidRPr="006078C8">
              <w:rPr>
                <w:rFonts w:ascii="Times New Roman" w:eastAsia="MS Gothic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</w:p>
          <w:p w14:paraId="50424041" w14:textId="422A62E2" w:rsidR="00D16C94" w:rsidRPr="006078C8" w:rsidRDefault="000B0B96" w:rsidP="00503F3B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  <w:lang w:val="en-GB"/>
                </w:rPr>
                <w:id w:val="-1022160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6B" w:rsidRPr="006078C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lang w:val="en-GB"/>
                  </w:rPr>
                  <w:t>☒</w:t>
                </w:r>
              </w:sdtContent>
            </w:sdt>
            <w:r w:rsidR="00460671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FB427B" w:rsidRPr="006078C8">
              <w:rPr>
                <w:rFonts w:ascii="Times New Roman" w:eastAsia="MS Gothic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Global Postdoctoral Fellowships</w:t>
            </w:r>
            <w:r w:rsidR="00460671" w:rsidRPr="006078C8">
              <w:rPr>
                <w:rFonts w:ascii="Times New Roman" w:eastAsia="MS Gothic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color w:val="002060"/>
                <w:sz w:val="24"/>
                <w:szCs w:val="24"/>
                <w:lang w:val="en-GB"/>
              </w:rPr>
              <w:t>(</w:t>
            </w:r>
            <w:r w:rsidR="00D16C94" w:rsidRPr="006078C8">
              <w:rPr>
                <w:rFonts w:ascii="Times New Roman" w:eastAsia="MS Gothic" w:hAnsi="Times New Roman" w:cs="Times New Roman"/>
                <w:color w:val="002060"/>
                <w:sz w:val="24"/>
                <w:szCs w:val="24"/>
                <w:lang w:val="en-GB"/>
              </w:rPr>
              <w:t>r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esearchers of any nationality working on R&amp;I projects by either coming to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Europe from any country in the world or moving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</w:t>
            </w:r>
            <w:r w:rsidR="00503F3B"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within Europe</w:t>
            </w:r>
            <w:r w:rsidR="0049782E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).</w:t>
            </w:r>
          </w:p>
          <w:p w14:paraId="2136B98E" w14:textId="4342A401" w:rsidR="00460671" w:rsidRPr="006078C8" w:rsidRDefault="00D16C94" w:rsidP="00503F3B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</w:pPr>
            <w:r w:rsidRPr="007E7783">
              <w:rPr>
                <w:rFonts w:ascii="Times New Roman" w:eastAsia="MS Gothic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GB"/>
              </w:rPr>
              <w:t>Duration:</w:t>
            </w:r>
            <w:r w:rsidRPr="006078C8">
              <w:rPr>
                <w:rFonts w:ascii="Times New Roman" w:eastAsia="MS Gothic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 xml:space="preserve"> 12-24 months</w:t>
            </w:r>
          </w:p>
        </w:tc>
      </w:tr>
      <w:tr w:rsidR="006078C8" w:rsidRPr="006078C8" w14:paraId="778B7F22" w14:textId="77777777" w:rsidTr="6ABBDE6D">
        <w:tc>
          <w:tcPr>
            <w:tcW w:w="3371" w:type="dxa"/>
          </w:tcPr>
          <w:p w14:paraId="060FC6A4" w14:textId="0C397219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lastRenderedPageBreak/>
              <w:t xml:space="preserve">Short Description of the Organisation/ Department </w:t>
            </w:r>
          </w:p>
          <w:p w14:paraId="264429AB" w14:textId="4FEC0ECD" w:rsidR="00460671" w:rsidRPr="006078C8" w:rsidRDefault="00460671" w:rsidP="3CE5B477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6411" w:type="dxa"/>
          </w:tcPr>
          <w:p w14:paraId="3CDE9C54" w14:textId="6E91BB5E" w:rsidR="00173D10" w:rsidRPr="006078C8" w:rsidRDefault="00173D10" w:rsidP="0045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Description of the Organisation/ Department</w:t>
            </w:r>
            <w:r w:rsidR="00CA5D70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S</w:t>
            </w:r>
            <w:r w:rsidRPr="006078C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:</w:t>
            </w:r>
            <w:r w:rsidR="009557B4" w:rsidRPr="006078C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14:paraId="5626377F" w14:textId="43202113" w:rsidR="00460671" w:rsidRPr="008519EB" w:rsidRDefault="002E0D6B" w:rsidP="008519E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8519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EXPERTISE:</w:t>
            </w:r>
          </w:p>
          <w:p w14:paraId="6587F2BC" w14:textId="70A1D161" w:rsidR="008519EB" w:rsidRPr="007E7783" w:rsidRDefault="000B5257" w:rsidP="0045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Our team of experts has </w:t>
            </w:r>
            <w:r w:rsidRPr="000B525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comprehensive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Pr="000B525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experience in smart solutions for the use of new technologies in the agri-food sector and its digitalization, precision agriculture and development, such as monitoring, collecting and </w:t>
            </w:r>
            <w:proofErr w:type="spellStart"/>
            <w:r w:rsidRPr="000B525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analyzing</w:t>
            </w:r>
            <w:proofErr w:type="spellEnd"/>
            <w:r w:rsidRPr="000B525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data, design and construction of agricultural drones and robots, including digital twins</w:t>
            </w:r>
            <w:r w:rsidR="00DC414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, </w:t>
            </w:r>
            <w:r w:rsidR="00394223" w:rsidRPr="0039422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machinery and soil processing simulation via FEM and DEM, live parameters monitoring, laboratory and</w:t>
            </w:r>
            <w:r w:rsid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394223" w:rsidRPr="0039422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computational results evaluation</w:t>
            </w:r>
            <w:r w:rsidR="00DC414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and also </w:t>
            </w:r>
            <w:r w:rsidR="00B6255E" w:rsidRPr="00B6255E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development </w:t>
            </w:r>
            <w:r w:rsidR="00B6255E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of </w:t>
            </w:r>
            <w:proofErr w:type="spellStart"/>
            <w:r w:rsidR="00DC414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</w:t>
            </w:r>
            <w:r w:rsidR="00DC414F" w:rsidRPr="00DC414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grivoltaic</w:t>
            </w:r>
            <w:proofErr w:type="spellEnd"/>
            <w:r w:rsidR="00DC414F" w:rsidRPr="00DC414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systems</w:t>
            </w:r>
            <w:r w:rsidR="00FD35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</w:p>
          <w:p w14:paraId="355BD6CD" w14:textId="77777777" w:rsidR="002E0D6B" w:rsidRPr="008519EB" w:rsidRDefault="002E0D6B" w:rsidP="008519E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</w:pPr>
            <w:r w:rsidRPr="008519EB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Research team composition:</w:t>
            </w:r>
          </w:p>
          <w:p w14:paraId="41BFDD10" w14:textId="3C5FA99E" w:rsidR="005A48BC" w:rsidRPr="007E7783" w:rsidRDefault="00D733D1" w:rsidP="00022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The research team consist</w:t>
            </w:r>
            <w:r w:rsidR="00867D9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s</w:t>
            </w: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of </w:t>
            </w:r>
            <w:r w:rsidR="002047A4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professor, </w:t>
            </w: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associate professors</w:t>
            </w:r>
            <w:r w:rsidR="00D55FE9" w:rsidRPr="007E7783">
              <w:rPr>
                <w:rFonts w:ascii="Times New Roman" w:hAnsi="Times New Roman" w:cs="Times New Roman"/>
                <w:caps/>
                <w:color w:val="002060"/>
                <w:sz w:val="24"/>
                <w:szCs w:val="24"/>
                <w:lang w:val="en-GB"/>
              </w:rPr>
              <w:t xml:space="preserve">, </w:t>
            </w: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assistant professors, Ph</w:t>
            </w:r>
            <w:r w:rsidR="00867D9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D</w:t>
            </w:r>
            <w:r w:rsidR="00867D9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students</w:t>
            </w:r>
            <w:r w:rsidR="007E7783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:</w:t>
            </w:r>
          </w:p>
          <w:p w14:paraId="3ED30F95" w14:textId="455339D8" w:rsidR="00A51F9E" w:rsidRDefault="00A51F9E" w:rsidP="6ABBDE6D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6"/>
                <w:szCs w:val="16"/>
                <w:lang w:val="en-GB"/>
              </w:rPr>
            </w:pPr>
            <w:r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prof. František Kumhála (</w:t>
            </w:r>
            <w:r w:rsidR="00063473"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ORCID </w:t>
            </w:r>
            <w:r w:rsidR="6ABBDE6D"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0000-0002-7782-6033) </w:t>
            </w:r>
          </w:p>
          <w:p w14:paraId="239F2CE9" w14:textId="775592B9" w:rsidR="00063473" w:rsidRDefault="00063473" w:rsidP="6ABBDE6D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2060"/>
                <w:sz w:val="24"/>
                <w:szCs w:val="24"/>
                <w:lang w:val="en-GB"/>
              </w:rPr>
            </w:pPr>
            <w:r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Assoc. prof. Jitka Kumhálová, (ORCID </w:t>
            </w:r>
            <w:r w:rsidR="6ABBDE6D"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0000-0002-0867-411X</w:t>
            </w:r>
            <w:proofErr w:type="gramStart"/>
            <w:r w:rsidR="6ABBDE6D"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);</w:t>
            </w:r>
            <w:proofErr w:type="gramEnd"/>
          </w:p>
          <w:p w14:paraId="4E7716D8" w14:textId="68A618E1" w:rsidR="002047A4" w:rsidRPr="000511DE" w:rsidRDefault="00063473" w:rsidP="000511DE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Assoc. prof. Rostislav Chotěborský (ORCID 0000-0002-8694-4453</w:t>
            </w:r>
            <w:proofErr w:type="gramStart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);</w:t>
            </w:r>
            <w:proofErr w:type="gramEnd"/>
          </w:p>
          <w:p w14:paraId="31B13D31" w14:textId="1B4F5B87" w:rsidR="00370543" w:rsidRPr="007E7783" w:rsidRDefault="006D3954" w:rsidP="007E7783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Assoc. prof. Miloslav Linda (ORCID </w:t>
            </w:r>
            <w:r w:rsidR="008E324B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0000-0003-2753-4144</w:t>
            </w:r>
            <w:proofErr w:type="gramStart"/>
            <w:r w:rsidR="008E324B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  <w:r w:rsidR="00370543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;</w:t>
            </w:r>
            <w:proofErr w:type="gramEnd"/>
          </w:p>
          <w:p w14:paraId="03E18C0F" w14:textId="13C5AEAF" w:rsidR="00A25C8D" w:rsidRPr="007E7783" w:rsidRDefault="00882215" w:rsidP="007E7783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Assoc. prof. Monika </w:t>
            </w:r>
            <w:proofErr w:type="spellStart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Hromasová</w:t>
            </w:r>
            <w:proofErr w:type="spellEnd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(ORCID 0000-0001-5849-1955</w:t>
            </w:r>
            <w:proofErr w:type="gramStart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  <w:r w:rsidR="008E1EE5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;</w:t>
            </w:r>
            <w:proofErr w:type="gramEnd"/>
          </w:p>
          <w:p w14:paraId="6061D58D" w14:textId="77777777" w:rsidR="008E1EE5" w:rsidRPr="007E7783" w:rsidRDefault="00370543" w:rsidP="007E7783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Assist. prof. Egidijus Katinas </w:t>
            </w:r>
            <w:r w:rsidR="00E44262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(ORCID 0000-0002-1908-4465</w:t>
            </w:r>
            <w:proofErr w:type="gramStart"/>
            <w:r w:rsidR="00E44262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  <w:r w:rsidR="008E1EE5" w:rsidRP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;</w:t>
            </w:r>
            <w:proofErr w:type="gramEnd"/>
          </w:p>
          <w:p w14:paraId="1F6C7471" w14:textId="2A539862" w:rsidR="00063473" w:rsidRPr="00063473" w:rsidRDefault="008E1EE5" w:rsidP="00063473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PhD student</w:t>
            </w:r>
            <w:r w:rsidR="00FB2DEA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s:</w:t>
            </w:r>
            <w:r w:rsidR="00063473">
              <w:t xml:space="preserve"> </w:t>
            </w:r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Ing. </w:t>
            </w:r>
            <w:proofErr w:type="spellStart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Jiři</w:t>
            </w:r>
            <w:proofErr w:type="spellEnd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Kuře</w:t>
            </w:r>
            <w:proofErr w:type="spellEnd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, Ing. </w:t>
            </w:r>
            <w:proofErr w:type="spellStart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Barbora</w:t>
            </w:r>
            <w:proofErr w:type="spellEnd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Černilová</w:t>
            </w:r>
            <w:proofErr w:type="spellEnd"/>
            <w:r w:rsidR="00063473"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. </w:t>
            </w:r>
          </w:p>
          <w:p w14:paraId="53271ED6" w14:textId="1EBBDB82" w:rsidR="00FB2DEA" w:rsidRPr="007E7783" w:rsidRDefault="00FB2DEA" w:rsidP="00063473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</w:p>
          <w:p w14:paraId="01912357" w14:textId="77777777" w:rsidR="002E0D6B" w:rsidRPr="008519EB" w:rsidRDefault="002E0D6B" w:rsidP="008519E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</w:pPr>
            <w:r w:rsidRPr="008519EB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strengths and scientific achievements:</w:t>
            </w:r>
          </w:p>
          <w:p w14:paraId="5934C05C" w14:textId="04514D62" w:rsidR="008519EB" w:rsidRPr="008519EB" w:rsidRDefault="008519EB" w:rsidP="00BD3D4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8519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Important publications:</w:t>
            </w:r>
          </w:p>
          <w:p w14:paraId="3E85FC89" w14:textId="77777777" w:rsidR="00961515" w:rsidRPr="00961515" w:rsidRDefault="00B64616" w:rsidP="00B6461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Style w:val="font-size-14"/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"/>
              </w:rPr>
              <w:t xml:space="preserve">Katinas, Egidijus; </w:t>
            </w:r>
            <w:proofErr w:type="spellStart"/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"/>
              </w:rPr>
              <w:t>Choteborsky</w:t>
            </w:r>
            <w:proofErr w:type="spellEnd"/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"/>
              </w:rPr>
              <w:t>, Rostislav; Linda, Miloslav;</w:t>
            </w:r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lang w:val="en"/>
              </w:rPr>
              <w:t xml:space="preserve"> </w:t>
            </w:r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"/>
              </w:rPr>
              <w:t>Kure, Jiri.</w:t>
            </w:r>
            <w:r w:rsidRPr="006078C8">
              <w:rPr>
                <w:rStyle w:val="font-size-14"/>
                <w:rFonts w:ascii="Times New Roman" w:hAnsi="Times New Roman" w:cs="Times New Roman"/>
                <w:color w:val="002060"/>
                <w:sz w:val="24"/>
                <w:szCs w:val="24"/>
                <w:lang w:val="en"/>
              </w:rPr>
              <w:t xml:space="preserve"> </w:t>
            </w:r>
          </w:p>
          <w:p w14:paraId="4D4332B5" w14:textId="77777777" w:rsidR="00961515" w:rsidRPr="00DC406A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"/>
              </w:rPr>
            </w:pPr>
            <w:r w:rsidRPr="00DC406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"/>
              </w:rPr>
              <w:t xml:space="preserve">Sensitivity analysis of the influence of particle dynamic friction, rolling resistance and volume/shear work ratio on wear loss and friction force using DEM model of dry sand rubber wheel test // Tribology </w:t>
            </w:r>
          </w:p>
          <w:p w14:paraId="456DE650" w14:textId="1FEC74A2" w:rsidR="00B64616" w:rsidRPr="006078C8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"/>
              </w:rPr>
              <w:lastRenderedPageBreak/>
              <w:t xml:space="preserve">International ISSN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0301-679X, 2021, vol. 156, p. 106853. DOI</w:t>
            </w:r>
            <w:r w:rsidR="000E21C5" w:rsidRPr="006078C8">
              <w:fldChar w:fldCharType="begin"/>
            </w:r>
            <w:r w:rsidR="000E21C5" w:rsidRPr="006078C8">
              <w:rPr>
                <w:rFonts w:ascii="Times New Roman" w:hAnsi="Times New Roman" w:cs="Times New Roman"/>
                <w:color w:val="002060"/>
              </w:rPr>
              <w:instrText xml:space="preserve"> HYPERLINK "https://doi.org/10.1016/j.triboint.2021.106853" \t "_blank" \o "Persistent link using digital object identifier" </w:instrText>
            </w:r>
            <w:r w:rsidR="000E21C5" w:rsidRPr="006078C8">
              <w:fldChar w:fldCharType="separate"/>
            </w:r>
            <w:r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t>.org/10.1016/j.triboint.2021.106853</w:t>
            </w:r>
            <w:r w:rsidR="000E21C5"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961515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Science Citation Index Expanded (Web of Science); ScienceDirect; INSPEC; CAB Abstracts; Scopus. </w:t>
            </w:r>
            <w:r w:rsidRPr="006078C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WOS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IF: 4.872, AIF: 3.44, cat: 1, av: 1.416, 2020, Q1] [</w:t>
            </w:r>
            <w:r w:rsidRPr="006078C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SCOPUS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citescore: 8, snip: 2.061, sjr: 1.401, year: 2020, quartile: Q1]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7C67E315" w14:textId="77777777" w:rsidR="00961515" w:rsidRPr="00961515" w:rsidRDefault="00B64616" w:rsidP="00B6461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Kesner, Adam; Choteborsky, Rostislav; Linda, Miloslav; Hromasova, Monika; Katinas, Egidijus; Sutanto, Hadi. </w:t>
            </w:r>
          </w:p>
          <w:p w14:paraId="14B8B1A5" w14:textId="77777777" w:rsidR="00961515" w:rsidRPr="00DC406A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C406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Stress distribution on a soil tillage machine frame segment with a chisel shank simulated using discrete element and finite element methods and validate by experiment // Biosystems engineering. </w:t>
            </w:r>
          </w:p>
          <w:p w14:paraId="24295C49" w14:textId="387FAA65" w:rsidR="00B64616" w:rsidRPr="006078C8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ISSN </w:t>
            </w:r>
            <w:r w:rsidRPr="006078C8">
              <w:rPr>
                <w:rStyle w:val="value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1537-5110, vol. 209, p. 125-138. </w:t>
            </w:r>
            <w:r w:rsidR="000E21C5" w:rsidRPr="006078C8">
              <w:fldChar w:fldCharType="begin"/>
            </w:r>
            <w:r w:rsidR="000E21C5" w:rsidRPr="006078C8">
              <w:rPr>
                <w:rFonts w:ascii="Times New Roman" w:hAnsi="Times New Roman" w:cs="Times New Roman"/>
                <w:color w:val="002060"/>
              </w:rPr>
              <w:instrText xml:space="preserve"> HYPERLINK "https://doi.org/10.1016/j.biosystemseng.2021.06.012" \t "_blank" \o "Persistent link using digital object identifier" </w:instrText>
            </w:r>
            <w:r w:rsidR="000E21C5" w:rsidRPr="006078C8">
              <w:fldChar w:fldCharType="separate"/>
            </w:r>
            <w:r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t>doi.org/10.1016/j.biosystemseng.2021.06.012</w:t>
            </w:r>
            <w:r w:rsidR="000E21C5"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fldChar w:fldCharType="end"/>
            </w:r>
            <w:r w:rsidRPr="006078C8">
              <w:rPr>
                <w:rStyle w:val="Hypertextovodkaz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Science Citation Index Expanded (Web of Science); ScienceDirect; Scopus. </w:t>
            </w:r>
            <w:r w:rsidRPr="006078C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WOS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IF: 4,123, 2020, Q1] [</w:t>
            </w:r>
            <w:r w:rsidRPr="006078C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SCOPUS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citescore: 7.2 snip: 2.120, sjr: 0.894, year: 2020, quartile: Q1]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37B56876" w14:textId="77777777" w:rsidR="00961515" w:rsidRPr="00961515" w:rsidRDefault="00B64616" w:rsidP="00B6461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Katinas, Egidijus; Choteborsky, Rostislav; Linda, Miloslav; Jankauskas, Vytenis. </w:t>
            </w:r>
          </w:p>
          <w:p w14:paraId="40BFE043" w14:textId="77777777" w:rsidR="00961515" w:rsidRPr="00DC406A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C4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Wear modelling of soil ripper tine in sand and sandy clay by discrete element method // Biosystems engineering. San Diego: Academic Press Inc Elsevier Science. </w:t>
            </w:r>
          </w:p>
          <w:p w14:paraId="61C63276" w14:textId="45755161" w:rsidR="00B64616" w:rsidRPr="006078C8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ISSN 1537-5110, 2019, vol. 188, p. 305-319. DOI:10.1016/j.biosystemseng.2019.10.022. Science Citation Index Expanded (Web of Science); ScienceDirect; Scopus. </w:t>
            </w:r>
            <w:r w:rsidRPr="006078C8">
              <w:rPr>
                <w:rFonts w:ascii="Times New Roman" w:eastAsia="Calibri" w:hAnsi="Times New Roman" w:cs="Times New Roman"/>
                <w:bCs/>
                <w:color w:val="002060"/>
                <w:sz w:val="24"/>
                <w:szCs w:val="24"/>
              </w:rPr>
              <w:t>WOS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IF: 3.215, AIF: 3.471, cat: 2, av: 1.326, 2019, Q1] [</w:t>
            </w:r>
            <w:r w:rsidRPr="006078C8">
              <w:rPr>
                <w:rFonts w:ascii="Times New Roman" w:eastAsia="Calibri" w:hAnsi="Times New Roman" w:cs="Times New Roman"/>
                <w:bCs/>
                <w:color w:val="002060"/>
                <w:sz w:val="24"/>
                <w:szCs w:val="24"/>
              </w:rPr>
              <w:t>SCOPUS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citescore: 6.4, snip: 1.97, sjr: 0.857, year: 2019, quartile: Q1] [ai: 0.354, iai: 0.354, na: 4, nia :2, nip: 1, pai: 1.01, piai: 1.01, al: 1.071]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;</w:t>
            </w:r>
          </w:p>
          <w:p w14:paraId="776308F5" w14:textId="77777777" w:rsidR="00961515" w:rsidRPr="00961515" w:rsidRDefault="00B64616" w:rsidP="00B6461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Jankauskas, Vytenis; Katinas, Egidijus; Laskauskas, Artūras; Antonov, Maksim; Varanauskas, Valentinas; Gedzevičius, Irmantas; Aleknevičienė, Vilija. </w:t>
            </w:r>
          </w:p>
          <w:p w14:paraId="2DDAF2BB" w14:textId="77777777" w:rsidR="00961515" w:rsidRPr="00DC406A" w:rsidRDefault="00B64616" w:rsidP="00961515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C4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Effect of electrode covering composition on the microstructure, wear, and economic feasibility of Fe-C-Cr manual arc-welded hardfacings // Coatings. Basel: MDPI AG. </w:t>
            </w:r>
          </w:p>
          <w:p w14:paraId="3B84BB90" w14:textId="5D5962A6" w:rsidR="00961515" w:rsidRDefault="00B64616" w:rsidP="008519EB">
            <w:pPr>
              <w:pStyle w:val="Odstavecseseznamem"/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ISSN 2079-6412, 2020, vol. 10, iss. 3, p. 1-19. DOI:10.3390/coatings10030294. Science Citation Index Expanded (Web of Science); Current Contents Engineering (Computing &amp; Technology). </w:t>
            </w:r>
            <w:r w:rsidRPr="006078C8">
              <w:rPr>
                <w:rFonts w:ascii="Times New Roman" w:eastAsia="Calibri" w:hAnsi="Times New Roman" w:cs="Times New Roman"/>
                <w:bCs/>
                <w:color w:val="002060"/>
                <w:sz w:val="24"/>
                <w:szCs w:val="24"/>
              </w:rPr>
              <w:t>WOS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IF: 2.881, AIF: 5.286, cat: 3, av: 0.514, year: 2020, quartile: Q2] [</w:t>
            </w:r>
            <w:r w:rsidRPr="006078C8">
              <w:rPr>
                <w:rFonts w:ascii="Times New Roman" w:eastAsia="Calibri" w:hAnsi="Times New Roman" w:cs="Times New Roman"/>
                <w:bCs/>
                <w:color w:val="002060"/>
                <w:sz w:val="24"/>
                <w:szCs w:val="24"/>
              </w:rPr>
              <w:t>SCOPUS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citescore: 3, snip: 0.998, sjr: 0.484, 2020, Q2. [ai: 0, iai: 0, na: 7, nia :3, nip: 2, pai: 0, piai: 0, al: 1.357]</w:t>
            </w:r>
            <w:r w:rsidRPr="006078C8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;</w:t>
            </w:r>
          </w:p>
          <w:p w14:paraId="492A5544" w14:textId="70F2458C" w:rsidR="00126898" w:rsidRDefault="00126898" w:rsidP="00126898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6ABBDE6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Rataj, Vladimír; Kumhálová, Jitka; Macák, Miroslav; Barát, Marek; Galambošová, Jana; Chyba, Jan; Kumhála, František.  </w:t>
            </w:r>
            <w:r w:rsidRPr="6ABBDE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Long-Term Monitoring of Different Field Traffic Management Practices in Cereals Production with Support of Satellite Images and Yield Data in Context of Climate </w:t>
            </w:r>
            <w:r w:rsidRPr="6ABBDE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Change // Agronomy</w:t>
            </w:r>
            <w:r w:rsidRPr="6ABBDE6D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  <w:t>,</w:t>
            </w:r>
            <w:r w:rsidRPr="6ABBDE6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2022, ISSN: 2073-4395, vol. 12, iss. 1, article number 128.</w:t>
            </w:r>
          </w:p>
          <w:p w14:paraId="51DE18BE" w14:textId="71A81C4E" w:rsidR="00126898" w:rsidRDefault="00126898" w:rsidP="00126898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1268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LEV, J. – KŘEPČÍK, V. – ŠARAUSKIS, E. – KUMHÁLA, F. </w:t>
            </w:r>
            <w:r w:rsidRPr="00C87D2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Electrical Capacitance Characteristics of</w:t>
            </w:r>
            <w:r w:rsidRPr="00C87D2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cs-CZ"/>
              </w:rPr>
              <w:t xml:space="preserve"> </w:t>
            </w:r>
            <w:r w:rsidRPr="00C87D2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Wood Chips at Low Frequency Ranges: A Cheap Tool for Quality Assessment. SENSORS</w:t>
            </w:r>
            <w:r w:rsidRPr="001268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2021, ISSN: 1424-8220.</w:t>
            </w:r>
          </w:p>
          <w:p w14:paraId="32280E2E" w14:textId="19B0D7D6" w:rsidR="00126898" w:rsidRDefault="00126898" w:rsidP="00126898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1268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KADEŘÁBEK, J. – SHAPOVAL, V. – MATĚJKA, P. – KROULÍK, M. – KUMHÁLA, F. </w:t>
            </w:r>
            <w:r w:rsidRPr="00C87D2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Comparison of Four RTK Receivers Operating in the Static and Dynamic Modes Using Measurement Robotic Arm. SENSORS</w:t>
            </w:r>
            <w:r w:rsidRPr="001268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2021, ISSN: 1424-8220</w:t>
            </w:r>
          </w:p>
          <w:p w14:paraId="3054D9DA" w14:textId="06DD601B" w:rsidR="00126898" w:rsidRDefault="00126898" w:rsidP="00126898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6ABBDE6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Tůma, Lukáš; Kumhálová, Jitka; Kumhála, František; Krepl, Vladimír</w:t>
            </w:r>
            <w:r w:rsidRPr="6ABBDE6D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  <w:szCs w:val="24"/>
              </w:rPr>
              <w:t xml:space="preserve">. </w:t>
            </w:r>
            <w:r w:rsidRPr="00E913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The noise-reduction potential of Radar Vegetation Index for crop management in the czech Republic // Precision Agriculture</w:t>
            </w:r>
            <w:r w:rsidRPr="6ABBDE6D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2022, ISSN: 1385-2256.vol. 23, iss. 2, pp. 450-469. WOS IF: 5.385 (D10),  AIF 0,851 (Q1)</w:t>
            </w:r>
          </w:p>
          <w:p w14:paraId="6928C912" w14:textId="7D0CCF91" w:rsidR="002956A7" w:rsidRPr="00C87D2C" w:rsidRDefault="002956A7" w:rsidP="002956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cs-CZ"/>
              </w:rPr>
            </w:pPr>
            <w:r w:rsidRPr="00C87D2C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val="cs-CZ"/>
              </w:rPr>
              <w:t>Patent:</w:t>
            </w:r>
          </w:p>
          <w:p w14:paraId="6F83DA29" w14:textId="4E5EA782" w:rsidR="002956A7" w:rsidRPr="002956A7" w:rsidRDefault="002956A7" w:rsidP="002956A7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</w:pP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Capacitance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transducer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of </w:t>
            </w: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particulate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material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permeability </w:t>
            </w: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with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compensation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of </w:t>
            </w:r>
            <w:proofErr w:type="spellStart"/>
            <w:proofErr w:type="gramStart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temperature</w:t>
            </w:r>
            <w:proofErr w:type="spell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-</w:t>
            </w:r>
            <w:r>
              <w:t xml:space="preserve"> </w:t>
            </w:r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>Kumhála</w:t>
            </w:r>
            <w:proofErr w:type="gramEnd"/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 František, Kavka Miroslav,</w:t>
            </w:r>
            <w:r>
              <w:t xml:space="preserve"> </w:t>
            </w:r>
            <w:r w:rsidRPr="002956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cs-CZ"/>
              </w:rPr>
              <w:t xml:space="preserve">Prošek Václav </w:t>
            </w:r>
          </w:p>
          <w:p w14:paraId="1987B7E8" w14:textId="1F8B7924" w:rsidR="006066A0" w:rsidRPr="00E91320" w:rsidRDefault="002E0D6B" w:rsidP="00E9132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aps/>
                <w:color w:val="002060"/>
                <w:sz w:val="24"/>
                <w:szCs w:val="24"/>
                <w:lang w:val="en-GB"/>
              </w:rPr>
            </w:pPr>
            <w:r w:rsidRPr="008519EB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GB"/>
              </w:rPr>
              <w:t>important infrastructure:</w:t>
            </w:r>
          </w:p>
          <w:p w14:paraId="6D7EE597" w14:textId="0928EC0A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Server 72 cores, 3 TB RAM for FEM, Server 2 x GPU P100 for DEM, PC with V100 32 GB RAM for DEM. Software Ansys </w:t>
            </w: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multiphysics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(mechanics and fluent) for FEM and Rocky DEM. </w:t>
            </w:r>
          </w:p>
          <w:p w14:paraId="41DD79DB" w14:textId="3B321684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Daily using CNC machines, CNC laser for plastics and wood, making mould and vacuum forming, making carbon fibre and glass fibre parts. Development of self-filament for 3D printing.</w:t>
            </w:r>
          </w:p>
          <w:p w14:paraId="055483E7" w14:textId="70B40B65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Soil bin for testing newly designed soil tillage tools, validation of FEM boundary conditions and verification of digital </w:t>
            </w:r>
            <w:proofErr w:type="gram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twins</w:t>
            </w:r>
            <w:proofErr w:type="gram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accuracy, length 10 m, width 3 m, depth 1.5 m, maximum tensile force 30 </w:t>
            </w: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kN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, speed up to 4 m / s.</w:t>
            </w:r>
          </w:p>
          <w:p w14:paraId="4FB81B24" w14:textId="29A00166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Computer laboratory equipped with software (ArcGIS, QGIS, SNAP, ENVI, SMS, Pix4D) for spatial data and image analysis with appropriate hardware.</w:t>
            </w:r>
          </w:p>
          <w:p w14:paraId="51B11D50" w14:textId="2C420EDC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Multicopters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and fixed wings (</w:t>
            </w: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eBee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X) to retrieve data for precision agriculture forestry </w:t>
            </w: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purposis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</w:p>
          <w:p w14:paraId="12BE7256" w14:textId="3E4732AB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Multispectral and thermal cameras.</w:t>
            </w:r>
          </w:p>
          <w:p w14:paraId="798BA4FD" w14:textId="6FC9FEDE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Functional prototypes of agricultural and forestry drones developed for special purposes (</w:t>
            </w:r>
            <w:proofErr w:type="spellStart"/>
            <w:proofErr w:type="gram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eg</w:t>
            </w:r>
            <w:proofErr w:type="spellEnd"/>
            <w:proofErr w:type="gram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spraying individual trees), own solutions.</w:t>
            </w:r>
          </w:p>
          <w:p w14:paraId="0243A131" w14:textId="3EF9788D" w:rsidR="00CC2409" w:rsidRPr="00CC2409" w:rsidRDefault="00CC2409" w:rsidP="00604FA1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Laboratory equipment for rapid analysis of soil granular composition - optical particle size </w:t>
            </w:r>
            <w:proofErr w:type="spellStart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analyzer</w:t>
            </w:r>
            <w:proofErr w:type="spellEnd"/>
            <w:r w:rsidRPr="7B5F50F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HORIBA LA 960.</w:t>
            </w:r>
          </w:p>
        </w:tc>
      </w:tr>
      <w:tr w:rsidR="006078C8" w:rsidRPr="006078C8" w14:paraId="0F805ACC" w14:textId="77777777" w:rsidTr="6ABBDE6D">
        <w:tc>
          <w:tcPr>
            <w:tcW w:w="3371" w:type="dxa"/>
          </w:tcPr>
          <w:p w14:paraId="3D992D3F" w14:textId="65F0BE38" w:rsidR="00460671" w:rsidRPr="00E91320" w:rsidRDefault="00460671" w:rsidP="00E91320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</w:pPr>
            <w:r w:rsidRPr="00E9132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lastRenderedPageBreak/>
              <w:t>Previous Projects/ Research Experience</w:t>
            </w:r>
            <w:r w:rsidRPr="00E9132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  <w:tc>
          <w:tcPr>
            <w:tcW w:w="6411" w:type="dxa"/>
          </w:tcPr>
          <w:p w14:paraId="2C667636" w14:textId="6433FE75" w:rsidR="00B6255E" w:rsidRPr="00E91320" w:rsidRDefault="00B34AF7" w:rsidP="00E9132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u w:val="single"/>
                <w:lang w:val="en-GB"/>
              </w:rPr>
            </w:pPr>
            <w:hyperlink r:id="rId14" w:history="1">
              <w:r w:rsidR="00B6255E" w:rsidRPr="00E91320"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National Scientific Projects:</w:t>
              </w:r>
            </w:hyperlink>
          </w:p>
          <w:p w14:paraId="6B55FB7A" w14:textId="1CB50D35" w:rsidR="00B6255E" w:rsidRPr="00E91320" w:rsidRDefault="00B34AF7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</w:pPr>
            <w:hyperlink r:id="rId15" w:history="1">
              <w:r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The digital twin of the agricultural machine</w:t>
              </w:r>
            </w:hyperlink>
          </w:p>
          <w:p w14:paraId="68C86A8A" w14:textId="2493D177" w:rsidR="00B34AF7" w:rsidRPr="00E91320" w:rsidRDefault="00B34AF7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</w:pPr>
            <w:hyperlink r:id="rId16" w:history="1">
              <w:r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Modularity of agricultural machinery supported by advanced manufacturing technologies</w:t>
              </w:r>
            </w:hyperlink>
          </w:p>
          <w:p w14:paraId="55D780CB" w14:textId="22E5CE20" w:rsidR="00B34AF7" w:rsidRPr="00E91320" w:rsidRDefault="00C94E1F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</w:pPr>
            <w:hyperlink r:id="rId17" w:history="1">
              <w:r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R&amp;D of working tools of agricultural machinery</w:t>
              </w:r>
            </w:hyperlink>
          </w:p>
          <w:p w14:paraId="65215AF1" w14:textId="6E419065" w:rsidR="00C94E1F" w:rsidRPr="00E91320" w:rsidRDefault="00C94E1F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</w:pPr>
            <w:hyperlink r:id="rId18" w:history="1">
              <w:r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Research and development of smart farming technologies for small and medium-sized farms</w:t>
              </w:r>
            </w:hyperlink>
          </w:p>
          <w:p w14:paraId="27CF1E21" w14:textId="1660E104" w:rsidR="00A371DD" w:rsidRPr="00E91320" w:rsidRDefault="004579DE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Research of the systems for increasing soil tillage energy efficiency</w:t>
              </w:r>
            </w:hyperlink>
          </w:p>
          <w:p w14:paraId="2896B7B2" w14:textId="1A220B7A" w:rsidR="00460671" w:rsidRPr="00E91320" w:rsidDel="00B6255E" w:rsidRDefault="00120A83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0" w:history="1">
              <w:r w:rsidR="7B5F50FF"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R&amp;D of coconut processing line</w:t>
              </w:r>
            </w:hyperlink>
          </w:p>
          <w:p w14:paraId="14A574FF" w14:textId="5EC5D379" w:rsidR="00460671" w:rsidRPr="00E91320" w:rsidDel="00B6255E" w:rsidRDefault="00120A83" w:rsidP="00E91320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7B5F50FF"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Improving the WASH sector in Kampong Chhnang Province – Cambodia</w:t>
              </w:r>
            </w:hyperlink>
          </w:p>
          <w:p w14:paraId="7A4399D3" w14:textId="22EB0A18" w:rsidR="00460671" w:rsidRPr="00E91320" w:rsidDel="00B6255E" w:rsidRDefault="7B5F50FF" w:rsidP="00E91320">
            <w:pPr>
              <w:jc w:val="both"/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u w:val="single"/>
                <w:lang w:val="en-GB"/>
              </w:rPr>
            </w:pPr>
            <w:r w:rsidRPr="00E91320"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u w:val="single"/>
                <w:lang w:val="en-GB"/>
              </w:rPr>
              <w:t>International Scientific Projects:</w:t>
            </w:r>
          </w:p>
          <w:p w14:paraId="69AF91FC" w14:textId="5F7CC038" w:rsidR="00063DE4" w:rsidRPr="00E91320" w:rsidRDefault="00120A83" w:rsidP="00E91320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eastAsiaTheme="minorEastAsia"/>
                <w:color w:val="0563C1"/>
                <w:sz w:val="24"/>
                <w:szCs w:val="24"/>
                <w:u w:val="single"/>
                <w:lang w:val="en-GB"/>
              </w:rPr>
            </w:pPr>
            <w:hyperlink r:id="rId22" w:history="1">
              <w:r w:rsidR="7B5F50FF" w:rsidRPr="00E9132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NICOPA - New and Innovative Courses for Precision Agriculture</w:t>
              </w:r>
            </w:hyperlink>
          </w:p>
        </w:tc>
      </w:tr>
      <w:tr w:rsidR="006078C8" w:rsidRPr="006078C8" w14:paraId="7CA012E3" w14:textId="77777777" w:rsidTr="6ABBDE6D">
        <w:tc>
          <w:tcPr>
            <w:tcW w:w="3371" w:type="dxa"/>
          </w:tcPr>
          <w:p w14:paraId="4A280D50" w14:textId="52137E68" w:rsidR="00460671" w:rsidRPr="006078C8" w:rsidRDefault="00FB427B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lastRenderedPageBreak/>
              <w:t xml:space="preserve">Thematic areas and </w:t>
            </w:r>
            <w:r w:rsidR="00503F3B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a </w:t>
            </w: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list of supervisors who are </w:t>
            </w:r>
            <w:r w:rsidR="002E0D6B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going to participate </w:t>
            </w:r>
            <w:r w:rsidR="00503F3B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in</w:t>
            </w:r>
            <w:r w:rsidR="002E0D6B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preparing a project proposal with postdoctoral researchers</w:t>
            </w:r>
            <w:r w:rsidR="00503F3B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.</w:t>
            </w:r>
          </w:p>
        </w:tc>
        <w:tc>
          <w:tcPr>
            <w:tcW w:w="6411" w:type="dxa"/>
          </w:tcPr>
          <w:p w14:paraId="79192495" w14:textId="6196B1B7" w:rsidR="00CC2409" w:rsidRPr="00173358" w:rsidRDefault="009139B8" w:rsidP="0017335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17335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  <w:t xml:space="preserve">Thematic area: </w:t>
            </w:r>
            <w:r w:rsidR="004F2B07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Precision agriculture, Robotics, Autonomous vehicles, </w:t>
            </w:r>
            <w:proofErr w:type="spellStart"/>
            <w:r w:rsidR="004F2B07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Agrivoltaic</w:t>
            </w:r>
            <w:proofErr w:type="spellEnd"/>
            <w:r w:rsidR="004F2B07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systems, Digital twin, </w:t>
            </w:r>
            <w:r w:rsidR="00B474C4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Soil processing model</w:t>
            </w:r>
            <w:r w:rsidR="008C5F83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, Discrete element method (DEM), Finite element method (FEM), </w:t>
            </w:r>
            <w:r w:rsidR="00582925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Wear </w:t>
            </w:r>
            <w:r w:rsidR="00FE24AC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analysis</w:t>
            </w:r>
            <w:r w:rsidR="00FD17D2"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.</w:t>
            </w:r>
          </w:p>
          <w:p w14:paraId="1AD1495C" w14:textId="0A9A61FC" w:rsidR="00D6341A" w:rsidRPr="00173358" w:rsidRDefault="009139B8" w:rsidP="00173358">
            <w:pPr>
              <w:spacing w:before="120"/>
              <w:jc w:val="both"/>
              <w:rPr>
                <w:rFonts w:ascii="Times New Roman" w:hAnsi="Times New Roman" w:cs="Times New Roman"/>
                <w:caps/>
                <w:color w:val="002060"/>
                <w:sz w:val="24"/>
                <w:szCs w:val="24"/>
              </w:rPr>
            </w:pPr>
            <w:r w:rsidRPr="0017335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  <w:t>Supervisor</w:t>
            </w:r>
            <w:r w:rsidR="00604FA1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  <w:t>S</w:t>
            </w:r>
            <w:r w:rsidR="00173D10" w:rsidRPr="00173358">
              <w:rPr>
                <w:rFonts w:ascii="Times New Roman" w:hAnsi="Times New Roman" w:cs="Times New Roman"/>
                <w:b/>
                <w:bCs/>
                <w:caps/>
                <w:color w:val="002060"/>
                <w:sz w:val="24"/>
                <w:szCs w:val="24"/>
                <w:lang w:val="en-US"/>
              </w:rPr>
              <w:t>:</w:t>
            </w:r>
          </w:p>
          <w:p w14:paraId="05D15E77" w14:textId="153DEEA4" w:rsidR="00446B29" w:rsidRPr="00D6341A" w:rsidRDefault="001A512F" w:rsidP="00D6341A">
            <w:pPr>
              <w:spacing w:before="120"/>
              <w:jc w:val="both"/>
              <w:rPr>
                <w:rFonts w:ascii="Times New Roman" w:hAnsi="Times New Roman" w:cs="Times New Roman"/>
                <w:caps/>
                <w:color w:val="002060"/>
                <w:sz w:val="24"/>
                <w:szCs w:val="24"/>
              </w:rPr>
            </w:pPr>
            <w:r w:rsidRPr="001A512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prof. Dr. Ing. František Kumhála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(FK) and </w:t>
            </w:r>
            <w:r w:rsidR="00EF3EC6" w:rsidRPr="00D6341A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Ing. </w:t>
            </w:r>
            <w:r w:rsidR="00AA0A28" w:rsidRPr="00D6341A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Egidijus Katinas</w:t>
            </w:r>
            <w:r w:rsidR="00EF3EC6" w:rsidRPr="00D6341A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PhD</w:t>
            </w:r>
            <w:r w:rsidR="00FD17D2" w:rsidRPr="00D6341A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.</w:t>
            </w:r>
            <w:r w:rsidR="00604FA1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r w:rsid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(EK) </w:t>
            </w:r>
          </w:p>
          <w:p w14:paraId="4C21A6FD" w14:textId="2BD83196" w:rsidR="00446B29" w:rsidRPr="00173358" w:rsidRDefault="00D6341A" w:rsidP="00173358">
            <w:pPr>
              <w:pStyle w:val="Odstavecseseznamem"/>
              <w:numPr>
                <w:ilvl w:val="0"/>
                <w:numId w:val="35"/>
              </w:numPr>
              <w:spacing w:before="12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>Current</w:t>
            </w:r>
            <w:proofErr w:type="spellEnd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>position</w:t>
            </w:r>
            <w:proofErr w:type="spellEnd"/>
            <w:r w:rsidR="002E0D6B"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  <w:p w14:paraId="6BDBAB27" w14:textId="57892744" w:rsidR="001A512F" w:rsidRDefault="001A512F" w:rsidP="004F2B0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1A512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FK: Since </w:t>
            </w:r>
            <w:r w:rsidR="000B525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2011 </w:t>
            </w:r>
            <w:r w:rsidRPr="001A512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Professor at Czech University of Life Sciences Prague.</w:t>
            </w:r>
          </w:p>
          <w:p w14:paraId="137B92E9" w14:textId="16664116" w:rsidR="00173358" w:rsidRPr="004F2B07" w:rsidRDefault="004F2B07" w:rsidP="004F2B0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EK: </w:t>
            </w:r>
            <w:r w:rsidR="000042A1"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Since 2021 </w:t>
            </w:r>
            <w:proofErr w:type="spellStart"/>
            <w:r w:rsidR="00F37AF5"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Asistant</w:t>
            </w:r>
            <w:proofErr w:type="spellEnd"/>
            <w:r w:rsidR="00F37AF5"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professor</w:t>
            </w:r>
            <w:r w:rsidR="000042A1"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at Czech University of Life</w:t>
            </w:r>
          </w:p>
          <w:p w14:paraId="694297D6" w14:textId="56C10A53" w:rsidR="00D6341A" w:rsidRDefault="000042A1" w:rsidP="004F2B0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Sciences</w:t>
            </w:r>
            <w:r w:rsidR="00FD17D2" w:rsidRPr="004F2B0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Prague.</w:t>
            </w:r>
          </w:p>
          <w:p w14:paraId="7DF8BF3F" w14:textId="04DB6B2E" w:rsidR="00446B29" w:rsidRPr="004F2B07" w:rsidRDefault="00D6341A" w:rsidP="791CD16B">
            <w:pPr>
              <w:pStyle w:val="Odstavecseseznamem"/>
              <w:numPr>
                <w:ilvl w:val="0"/>
                <w:numId w:val="36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791CD1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Professional profile</w:t>
            </w:r>
            <w:r w:rsidR="00B6771D" w:rsidRPr="791CD16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:</w:t>
            </w:r>
          </w:p>
          <w:p w14:paraId="3192816F" w14:textId="3046459B" w:rsidR="00B6255E" w:rsidRDefault="00B6255E" w:rsidP="6ABBDE6D">
            <w:p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FK:</w:t>
            </w:r>
          </w:p>
          <w:p w14:paraId="6E9A596D" w14:textId="2F4A9103" w:rsidR="00B6255E" w:rsidRPr="00E91320" w:rsidRDefault="6ABBDE6D" w:rsidP="00E91320">
            <w:pPr>
              <w:pStyle w:val="Odstavecseseznamem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46 publications on Web of Science Core Collection</w:t>
            </w:r>
          </w:p>
          <w:p w14:paraId="33E8FDE5" w14:textId="3862E007" w:rsidR="00B6255E" w:rsidRPr="00E91320" w:rsidRDefault="6ABBDE6D" w:rsidP="00E91320">
            <w:pPr>
              <w:pStyle w:val="Odstavecseseznamem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21 publications with impact factor</w:t>
            </w:r>
          </w:p>
          <w:p w14:paraId="66393009" w14:textId="5CC3D058" w:rsidR="00B6255E" w:rsidRPr="00E91320" w:rsidRDefault="6ABBDE6D" w:rsidP="00E91320">
            <w:pPr>
              <w:pStyle w:val="Odstavecseseznamem"/>
              <w:numPr>
                <w:ilvl w:val="0"/>
                <w:numId w:val="42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Chairman of the Department of Agricultural Engineering, Energy and Construction of the Czech Academy of Agricultural Sciences</w:t>
            </w:r>
          </w:p>
          <w:p w14:paraId="70AB87D1" w14:textId="5B2CF17D" w:rsidR="004F2B07" w:rsidRPr="004F2B07" w:rsidRDefault="004F2B07" w:rsidP="004F2B07">
            <w:p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EK:</w:t>
            </w:r>
          </w:p>
          <w:p w14:paraId="4F936555" w14:textId="77777777" w:rsidR="00961515" w:rsidRPr="008519EB" w:rsidRDefault="00473A4A" w:rsidP="008519EB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10 publications with impact factor, </w:t>
            </w:r>
          </w:p>
          <w:p w14:paraId="328A2E41" w14:textId="77777777" w:rsidR="008519EB" w:rsidRDefault="00473A4A" w:rsidP="008519EB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Master thesis awarded in the field of technology science (2016), </w:t>
            </w:r>
          </w:p>
          <w:p w14:paraId="1B59DC89" w14:textId="52AB5CCE" w:rsidR="00A25949" w:rsidRPr="00E91320" w:rsidRDefault="00473A4A" w:rsidP="00E91320">
            <w:pPr>
              <w:pStyle w:val="Odstavecseseznamem"/>
              <w:numPr>
                <w:ilvl w:val="0"/>
                <w:numId w:val="27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Scholarship for PhD students for study results from Research Council of Lithuania (2017-2018)</w:t>
            </w:r>
            <w:r w:rsidR="00E8539C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.</w:t>
            </w:r>
          </w:p>
          <w:p w14:paraId="6B2967C1" w14:textId="5236165F" w:rsidR="00446B29" w:rsidRPr="00173358" w:rsidRDefault="00D6341A" w:rsidP="00173358">
            <w:pPr>
              <w:pStyle w:val="Odstavecseseznamem"/>
              <w:numPr>
                <w:ilvl w:val="0"/>
                <w:numId w:val="37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val="en-US"/>
              </w:rPr>
            </w:pPr>
            <w:proofErr w:type="spellStart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>Research</w:t>
            </w:r>
            <w:proofErr w:type="spellEnd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>experience</w:t>
            </w:r>
            <w:proofErr w:type="spellEnd"/>
            <w:r w:rsidR="00446B29"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&amp; </w:t>
            </w:r>
            <w:r w:rsidR="00446B29" w:rsidRPr="00173358"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E</w:t>
            </w:r>
            <w:proofErr w:type="spellStart"/>
            <w:r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cs-CZ"/>
              </w:rPr>
              <w:t>ducation</w:t>
            </w:r>
            <w:proofErr w:type="spellEnd"/>
            <w:r w:rsidR="002E0D6B" w:rsidRPr="001733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:</w:t>
            </w:r>
          </w:p>
          <w:p w14:paraId="5755CD01" w14:textId="33EDC753" w:rsidR="00B6255E" w:rsidRDefault="00B6255E" w:rsidP="00173358">
            <w:p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6ABBDE6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FK: </w:t>
            </w:r>
          </w:p>
          <w:p w14:paraId="0636BF66" w14:textId="599E8E8D" w:rsidR="6ABBDE6D" w:rsidRPr="00E91320" w:rsidRDefault="6ABBDE6D" w:rsidP="00E91320">
            <w:pPr>
              <w:pStyle w:val="Odstavecseseznamem"/>
              <w:numPr>
                <w:ilvl w:val="0"/>
                <w:numId w:val="43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2014 – present: Chief of Department of Agricultural Machines, Faculty of Engineering, CZU Prague</w:t>
            </w:r>
          </w:p>
          <w:p w14:paraId="74A9ACC3" w14:textId="12223285" w:rsidR="6ABBDE6D" w:rsidRPr="00E91320" w:rsidRDefault="6ABBDE6D" w:rsidP="00E91320">
            <w:pPr>
              <w:pStyle w:val="Odstavecseseznamem"/>
              <w:numPr>
                <w:ilvl w:val="0"/>
                <w:numId w:val="43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lastRenderedPageBreak/>
              <w:t>2011 – present: Full professor on Department of Agricultural Machines, Faculty of Engineering, CZU Prague</w:t>
            </w:r>
          </w:p>
          <w:p w14:paraId="0523BA70" w14:textId="22B4DF43" w:rsidR="6ABBDE6D" w:rsidRPr="00E91320" w:rsidRDefault="6ABBDE6D" w:rsidP="00E91320">
            <w:pPr>
              <w:pStyle w:val="Odstavecseseznamem"/>
              <w:numPr>
                <w:ilvl w:val="0"/>
                <w:numId w:val="43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2004-2011 Associate professor on Department of Agricultural Machines, Faculty of Engineering, CZU Prague</w:t>
            </w:r>
          </w:p>
          <w:p w14:paraId="6BD83D77" w14:textId="2A53F545" w:rsidR="00B6255E" w:rsidRPr="00FD35C8" w:rsidRDefault="6ABBDE6D" w:rsidP="00173358">
            <w:pPr>
              <w:pStyle w:val="Odstavecseseznamem"/>
              <w:numPr>
                <w:ilvl w:val="0"/>
                <w:numId w:val="43"/>
              </w:num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9132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Main solver and solver of national and international research projects</w:t>
            </w:r>
          </w:p>
          <w:p w14:paraId="2C55A456" w14:textId="1D7DB943" w:rsidR="00162BD9" w:rsidRPr="00D6341A" w:rsidRDefault="00A51F9E" w:rsidP="00173358">
            <w:pPr>
              <w:spacing w:before="1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EK:</w:t>
            </w:r>
            <w:r w:rsidR="0017335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14:paraId="62434037" w14:textId="66AF3F30" w:rsidR="004647CE" w:rsidRPr="004647CE" w:rsidRDefault="004647CE" w:rsidP="004647C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Since 2021 </w:t>
            </w:r>
            <w:proofErr w:type="spellStart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Asistant</w:t>
            </w:r>
            <w:proofErr w:type="spellEnd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professor at Czech University of Life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Sciences Prague.</w:t>
            </w:r>
          </w:p>
          <w:p w14:paraId="2A9887BB" w14:textId="2D81A928" w:rsidR="004647CE" w:rsidRPr="004647CE" w:rsidRDefault="004647CE" w:rsidP="004647C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2020-2021 Postdoc fellowship at Czech University of Life Sciences </w:t>
            </w:r>
            <w:proofErr w:type="gramStart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Prague;</w:t>
            </w:r>
            <w:proofErr w:type="gramEnd"/>
          </w:p>
          <w:p w14:paraId="4BEB9543" w14:textId="389BDE43" w:rsidR="004647CE" w:rsidRDefault="004647CE" w:rsidP="004647CE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2017-2018 junior researcher at Aleksandras </w:t>
            </w:r>
            <w:proofErr w:type="spellStart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Stulginskis</w:t>
            </w:r>
            <w:proofErr w:type="spellEnd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647C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University;</w:t>
            </w:r>
            <w:proofErr w:type="gramEnd"/>
          </w:p>
          <w:p w14:paraId="1386E20C" w14:textId="614C6C82" w:rsidR="00446B29" w:rsidRPr="008519EB" w:rsidRDefault="00307565" w:rsidP="008519EB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2015-20</w:t>
            </w:r>
            <w:r w:rsidR="00794EE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19 PhD, </w:t>
            </w:r>
            <w:proofErr w:type="spellStart"/>
            <w:r w:rsidR="00794EE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Vytautas</w:t>
            </w:r>
            <w:proofErr w:type="spellEnd"/>
            <w:r w:rsidR="00794EE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Magnus </w:t>
            </w:r>
            <w:proofErr w:type="gramStart"/>
            <w:r w:rsidR="00794EE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University;</w:t>
            </w:r>
            <w:proofErr w:type="gramEnd"/>
          </w:p>
          <w:p w14:paraId="3D544075" w14:textId="11A9A0AB" w:rsidR="00794EE4" w:rsidRPr="008519EB" w:rsidRDefault="00794EE4" w:rsidP="008519EB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2013-2015 </w:t>
            </w:r>
            <w:proofErr w:type="gramStart"/>
            <w:r w:rsidR="00FB12C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Master</w:t>
            </w:r>
            <w:proofErr w:type="gramEnd"/>
            <w:r w:rsidR="00FB12C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degree, Aleksandras </w:t>
            </w:r>
            <w:proofErr w:type="spellStart"/>
            <w:r w:rsidR="00FB12C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Stulginskis</w:t>
            </w:r>
            <w:proofErr w:type="spellEnd"/>
            <w:r w:rsidR="00FB12C4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University;</w:t>
            </w:r>
          </w:p>
          <w:p w14:paraId="2E4087A2" w14:textId="679D4741" w:rsidR="007F2BFB" w:rsidRPr="004647CE" w:rsidRDefault="00FB12C4" w:rsidP="004647CE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2009-2013 </w:t>
            </w:r>
            <w:proofErr w:type="gramStart"/>
            <w:r w:rsidR="00382E21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Bachelor</w:t>
            </w:r>
            <w:proofErr w:type="gramEnd"/>
            <w:r w:rsidR="00382E21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degree, Aleksandras </w:t>
            </w:r>
            <w:proofErr w:type="spellStart"/>
            <w:r w:rsidR="00382E21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Stulginskis</w:t>
            </w:r>
            <w:proofErr w:type="spellEnd"/>
            <w:r w:rsidR="00382E21" w:rsidRPr="008519EB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University.</w:t>
            </w:r>
          </w:p>
        </w:tc>
      </w:tr>
      <w:tr w:rsidR="006078C8" w:rsidRPr="006078C8" w14:paraId="2DEF17AE" w14:textId="77777777" w:rsidTr="6ABBDE6D">
        <w:tc>
          <w:tcPr>
            <w:tcW w:w="3371" w:type="dxa"/>
          </w:tcPr>
          <w:p w14:paraId="070A6366" w14:textId="22D17F29" w:rsidR="00173D10" w:rsidRPr="006078C8" w:rsidRDefault="00B6771D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Short d</w:t>
            </w:r>
            <w:r w:rsidR="00173D10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escription of</w:t>
            </w: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Postdoctoral Fellowships programme </w:t>
            </w:r>
          </w:p>
        </w:tc>
        <w:tc>
          <w:tcPr>
            <w:tcW w:w="6411" w:type="dxa"/>
          </w:tcPr>
          <w:p w14:paraId="65621773" w14:textId="0C6FB6E9" w:rsidR="000962F8" w:rsidRDefault="007D0E1E" w:rsidP="27EA64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Postdoctoral researcher </w:t>
            </w:r>
            <w:r w:rsidR="00D707DF"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activities will be </w:t>
            </w:r>
            <w:r w:rsidR="00914BEC"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focused on </w:t>
            </w:r>
            <w:r w:rsidR="00173358"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the </w:t>
            </w:r>
            <w:r w:rsidR="000962F8"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following areas:</w:t>
            </w:r>
          </w:p>
          <w:p w14:paraId="0E1A9C9E" w14:textId="39262D5D" w:rsidR="00DC414F" w:rsidRDefault="00D6083B" w:rsidP="00173358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d</w:t>
            </w:r>
            <w:r w:rsidRPr="00D6083B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 xml:space="preserve">esign and construction of agriculture drones </w:t>
            </w: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 xml:space="preserve">and autonomous vehicles </w:t>
            </w:r>
            <w:r w:rsidRPr="00D6083B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for different tasks</w:t>
            </w: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,</w:t>
            </w:r>
          </w:p>
          <w:p w14:paraId="031DACA6" w14:textId="419DEDCE" w:rsidR="00D6083B" w:rsidRPr="00B90634" w:rsidRDefault="00B90634" w:rsidP="004864D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d</w:t>
            </w:r>
            <w:r w:rsidRPr="00B90634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evelopment and production of our own electric drone power units with significantly lower energy consumption</w:t>
            </w:r>
          </w:p>
          <w:p w14:paraId="439F1D3B" w14:textId="245DAD67" w:rsidR="00B90634" w:rsidRPr="00B90634" w:rsidRDefault="00B90634" w:rsidP="004864D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r w:rsidRPr="00B90634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3D printing in the construction of agricultural drones, application of rapid prototyping,</w:t>
            </w:r>
          </w:p>
          <w:p w14:paraId="36FB8FD5" w14:textId="13F74FEE" w:rsidR="004864D9" w:rsidRDefault="004864D9" w:rsidP="00173358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cs-CZ"/>
              </w:rPr>
              <w:t>a</w:t>
            </w:r>
            <w:r w:rsidRPr="004864D9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pplication of drones and autonomous vehicles in the program of precision agriculture</w:t>
            </w: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cs-CZ"/>
              </w:rPr>
              <w:t>,</w:t>
            </w:r>
          </w:p>
          <w:p w14:paraId="352F73CB" w14:textId="4F3EDC53" w:rsidR="00DC414F" w:rsidRDefault="00DC414F" w:rsidP="00173358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a</w:t>
            </w:r>
            <w:r w:rsidRPr="00DC414F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grivoltaic</w:t>
            </w:r>
            <w:proofErr w:type="spellEnd"/>
            <w:r w:rsidRPr="00DC414F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 xml:space="preserve"> systems</w:t>
            </w:r>
            <w:r w:rsidR="00D6083B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 xml:space="preserve"> for </w:t>
            </w:r>
            <w:r w:rsidR="00D6083B" w:rsidRPr="00D6083B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combined production of photovoltaic power and agricultural crops</w:t>
            </w:r>
            <w:r w:rsidR="0088086C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  <w:t>,</w:t>
            </w:r>
          </w:p>
          <w:p w14:paraId="524728B6" w14:textId="78D0634C" w:rsidR="000962F8" w:rsidRPr="000962F8" w:rsidRDefault="0053158A" w:rsidP="30A53CCF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FEM and DEM method application in agriculture and soil processing,</w:t>
            </w:r>
          </w:p>
          <w:p w14:paraId="1B518203" w14:textId="6077B31C" w:rsidR="000962F8" w:rsidRPr="000962F8" w:rsidRDefault="0053158A" w:rsidP="30A53CCF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design and development of soil processing tools, </w:t>
            </w:r>
          </w:p>
          <w:p w14:paraId="22BB0663" w14:textId="7E9F540C" w:rsidR="30A53CCF" w:rsidRDefault="30A53CCF" w:rsidP="30A53CCF">
            <w:pPr>
              <w:pStyle w:val="Odstavecseseznamem"/>
              <w:numPr>
                <w:ilvl w:val="0"/>
                <w:numId w:val="33"/>
              </w:numPr>
              <w:spacing w:before="120"/>
              <w:ind w:left="714" w:hanging="357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real-time data measurement, processing, and analysis during the soil processing,</w:t>
            </w:r>
          </w:p>
          <w:p w14:paraId="5B4C8BBE" w14:textId="78501684" w:rsidR="30A53CCF" w:rsidRDefault="30A53CCF" w:rsidP="2BAB7A45">
            <w:pPr>
              <w:pStyle w:val="Odstavecseseznamem"/>
              <w:numPr>
                <w:ilvl w:val="0"/>
                <w:numId w:val="33"/>
              </w:numPr>
              <w:spacing w:before="120"/>
              <w:ind w:left="714" w:hanging="357"/>
              <w:jc w:val="both"/>
              <w:rPr>
                <w:rFonts w:eastAsiaTheme="minorEastAsia"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soil processing, </w:t>
            </w:r>
            <w:proofErr w:type="gramStart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fertilizing</w:t>
            </w:r>
            <w:proofErr w:type="gramEnd"/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and seeding processes simulation and analysis by the DEM,</w:t>
            </w:r>
          </w:p>
          <w:p w14:paraId="680B9E03" w14:textId="447410A1" w:rsidR="30A53CCF" w:rsidRDefault="30A53CCF" w:rsidP="2BAB7A45">
            <w:pPr>
              <w:pStyle w:val="Odstavecseseznamem"/>
              <w:numPr>
                <w:ilvl w:val="0"/>
                <w:numId w:val="33"/>
              </w:numPr>
              <w:spacing w:before="120"/>
              <w:ind w:left="714" w:hanging="357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measurement, evaluation, simulation of soil properties and their analysis,</w:t>
            </w:r>
          </w:p>
          <w:p w14:paraId="16BCE6F4" w14:textId="16B92927" w:rsidR="2BAB7A45" w:rsidRDefault="2BAB7A45" w:rsidP="2BAB7A45">
            <w:pPr>
              <w:pStyle w:val="Odstavecseseznamem"/>
              <w:numPr>
                <w:ilvl w:val="0"/>
                <w:numId w:val="33"/>
              </w:numPr>
              <w:spacing w:before="120"/>
              <w:ind w:left="714" w:hanging="357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simulation of mixing, transportation, processing of granular material used in food, agriculture, chemical industries (fruits, vegetables, grains, pills, etc.) can be </w:t>
            </w:r>
            <w:r w:rsidRPr="27EA6475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lastRenderedPageBreak/>
              <w:t xml:space="preserve">performed with a knowledge acquired through experience of soil processing, </w:t>
            </w:r>
          </w:p>
          <w:p w14:paraId="34940776" w14:textId="0259BB7F" w:rsidR="00D46243" w:rsidRPr="00FD35C8" w:rsidRDefault="30A53CCF" w:rsidP="00FD35C8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714" w:hanging="357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30A53CCF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abrasive wear analysis, simulation, worn surface comparison to the actual shape</w:t>
            </w:r>
          </w:p>
        </w:tc>
      </w:tr>
      <w:tr w:rsidR="006078C8" w:rsidRPr="006078C8" w14:paraId="3FE00747" w14:textId="77777777" w:rsidTr="6ABBDE6D">
        <w:tc>
          <w:tcPr>
            <w:tcW w:w="3371" w:type="dxa"/>
          </w:tcPr>
          <w:p w14:paraId="56ABDF8C" w14:textId="415C8AC8" w:rsidR="00460671" w:rsidRPr="006078C8" w:rsidRDefault="00460671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Contact Person/ Position in the Organisation</w:t>
            </w:r>
            <w:r w:rsidR="00660B6F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/ Phone/ E-mail</w:t>
            </w:r>
          </w:p>
        </w:tc>
        <w:tc>
          <w:tcPr>
            <w:tcW w:w="6411" w:type="dxa"/>
          </w:tcPr>
          <w:p w14:paraId="0857F2A7" w14:textId="77777777" w:rsidR="00460671" w:rsidRPr="006078C8" w:rsidRDefault="00B6771D" w:rsidP="00660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Pavlina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Ruzickova</w:t>
            </w:r>
            <w:proofErr w:type="spellEnd"/>
          </w:p>
          <w:p w14:paraId="3DAB07DA" w14:textId="77777777" w:rsidR="00B6771D" w:rsidRPr="006078C8" w:rsidRDefault="00B6771D" w:rsidP="00660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project manager</w:t>
            </w:r>
          </w:p>
          <w:p w14:paraId="3D44096B" w14:textId="579418AF" w:rsidR="00B6771D" w:rsidRPr="006078C8" w:rsidRDefault="00B6771D" w:rsidP="00660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email: ruzickova@tf.czu.cz</w:t>
            </w:r>
          </w:p>
          <w:p w14:paraId="4D4DE1E6" w14:textId="49FD5445" w:rsidR="00B6771D" w:rsidRPr="006078C8" w:rsidRDefault="00B6771D" w:rsidP="00660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phone:</w:t>
            </w:r>
            <w:r w:rsidRPr="006078C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+ 420 605 294 906</w:t>
            </w:r>
          </w:p>
        </w:tc>
      </w:tr>
      <w:tr w:rsidR="006078C8" w:rsidRPr="006078C8" w14:paraId="33C5B968" w14:textId="77777777" w:rsidTr="6ABBDE6D">
        <w:tc>
          <w:tcPr>
            <w:tcW w:w="3371" w:type="dxa"/>
          </w:tcPr>
          <w:p w14:paraId="4F77C372" w14:textId="708648EF" w:rsidR="00FB427B" w:rsidRPr="006078C8" w:rsidRDefault="00FB427B" w:rsidP="00660B6F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Deadline f</w:t>
            </w:r>
            <w:r w:rsidR="00660B6F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or Expressions of Interest from postdoctoral researchers</w:t>
            </w:r>
          </w:p>
        </w:tc>
        <w:tc>
          <w:tcPr>
            <w:tcW w:w="6411" w:type="dxa"/>
          </w:tcPr>
          <w:p w14:paraId="4091C880" w14:textId="78121F76" w:rsidR="00FB427B" w:rsidRPr="00FD35C8" w:rsidRDefault="00BD399F" w:rsidP="00F2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FD35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30</w:t>
            </w:r>
            <w:r w:rsidR="007C7CD0" w:rsidRPr="00FD35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r w:rsidRPr="00FD35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May</w:t>
            </w:r>
            <w:r w:rsidR="006078C8" w:rsidRPr="00FD35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2022</w:t>
            </w:r>
          </w:p>
        </w:tc>
      </w:tr>
      <w:tr w:rsidR="006078C8" w:rsidRPr="006078C8" w14:paraId="2357B93B" w14:textId="77777777" w:rsidTr="6ABBDE6D">
        <w:tc>
          <w:tcPr>
            <w:tcW w:w="3371" w:type="dxa"/>
          </w:tcPr>
          <w:p w14:paraId="45948DD6" w14:textId="47689D25" w:rsidR="00FB427B" w:rsidRPr="006078C8" w:rsidRDefault="00FB427B" w:rsidP="00660B6F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Necessary d</w:t>
            </w:r>
            <w:r w:rsidR="00660B6F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ocuments</w:t>
            </w:r>
            <w:r w:rsidR="00357E02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 xml:space="preserve"> from applicants (</w:t>
            </w:r>
            <w:r w:rsidR="00357E02" w:rsidRPr="006078C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postdoctoral researchers</w:t>
            </w:r>
            <w:r w:rsidR="00357E02"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)</w:t>
            </w:r>
          </w:p>
        </w:tc>
        <w:tc>
          <w:tcPr>
            <w:tcW w:w="6411" w:type="dxa"/>
          </w:tcPr>
          <w:p w14:paraId="132A7D5C" w14:textId="657640EA" w:rsidR="00461E40" w:rsidRDefault="00461E40" w:rsidP="00A51F9E">
            <w:pPr>
              <w:pStyle w:val="Odstavecseseznamem"/>
              <w:tabs>
                <w:tab w:val="left" w:pos="286"/>
              </w:tabs>
              <w:autoSpaceDE w:val="0"/>
              <w:autoSpaceDN w:val="0"/>
              <w:adjustRightInd w:val="0"/>
              <w:ind w:left="2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Please send us an application by email to </w:t>
            </w:r>
            <w:hyperlink r:id="rId23" w:history="1">
              <w:r w:rsidR="00A51F9E" w:rsidRPr="0003596D">
                <w:rPr>
                  <w:rStyle w:val="Hypertextovodkaz"/>
                  <w:rFonts w:ascii="Times New Roman" w:hAnsi="Times New Roman" w:cs="Times New Roman"/>
                  <w:sz w:val="24"/>
                  <w:szCs w:val="24"/>
                  <w:lang w:val="en-GB"/>
                </w:rPr>
                <w:t>ruzickova@tf.czu.cz</w:t>
              </w:r>
            </w:hyperlink>
            <w:r w:rsidR="00A51F9E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including following documents:</w:t>
            </w:r>
          </w:p>
          <w:p w14:paraId="4F40265A" w14:textId="2F2AAC8E" w:rsidR="00FB427B" w:rsidRPr="006078C8" w:rsidRDefault="00B367DC" w:rsidP="00B367DC">
            <w:pPr>
              <w:pStyle w:val="Odstavecseseznamem"/>
              <w:numPr>
                <w:ilvl w:val="0"/>
                <w:numId w:val="13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CV</w:t>
            </w:r>
          </w:p>
          <w:p w14:paraId="0855E99F" w14:textId="77777777" w:rsidR="00B367DC" w:rsidRPr="006078C8" w:rsidRDefault="00357E02" w:rsidP="00B367DC">
            <w:pPr>
              <w:pStyle w:val="Odstavecseseznamem"/>
              <w:numPr>
                <w:ilvl w:val="0"/>
                <w:numId w:val="13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List of publications</w:t>
            </w:r>
          </w:p>
          <w:p w14:paraId="6FDE8870" w14:textId="77777777" w:rsidR="00357E02" w:rsidRPr="006078C8" w:rsidRDefault="00357E02" w:rsidP="00357E02">
            <w:pPr>
              <w:pStyle w:val="Odstavecseseznamem"/>
              <w:numPr>
                <w:ilvl w:val="0"/>
                <w:numId w:val="13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160" w:line="259" w:lineRule="auto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Brief description of the project idea</w:t>
            </w:r>
          </w:p>
          <w:p w14:paraId="6F12125F" w14:textId="0A2A422D" w:rsidR="00357E02" w:rsidRPr="006078C8" w:rsidRDefault="008E0052" w:rsidP="00357E02">
            <w:pPr>
              <w:tabs>
                <w:tab w:val="left" w:pos="286"/>
              </w:tabs>
              <w:autoSpaceDE w:val="0"/>
              <w:autoSpaceDN w:val="0"/>
              <w:adjustRightInd w:val="0"/>
              <w:ind w:left="2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(</w:t>
            </w:r>
            <w:r w:rsidR="00914BEC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a </w:t>
            </w:r>
            <w:r w:rsidRPr="006078C8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en-GB"/>
              </w:rPr>
              <w:t>project proposal will be made jointly by the researcher and a host institution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</w:p>
        </w:tc>
      </w:tr>
      <w:tr w:rsidR="006078C8" w:rsidRPr="006078C8" w14:paraId="0E35F06B" w14:textId="77777777" w:rsidTr="6ABBDE6D">
        <w:tc>
          <w:tcPr>
            <w:tcW w:w="3371" w:type="dxa"/>
          </w:tcPr>
          <w:p w14:paraId="13961AB8" w14:textId="0BA79ACE" w:rsidR="00FB427B" w:rsidRPr="006078C8" w:rsidRDefault="00FB427B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What we offer</w:t>
            </w:r>
          </w:p>
        </w:tc>
        <w:tc>
          <w:tcPr>
            <w:tcW w:w="6411" w:type="dxa"/>
          </w:tcPr>
          <w:p w14:paraId="52A3AD6E" w14:textId="337F7075" w:rsidR="00E73361" w:rsidRPr="006078C8" w:rsidRDefault="00E73361" w:rsidP="00E73361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461E4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F</w:t>
            </w:r>
            <w:r w:rsidR="00FB427B" w:rsidRPr="00461E4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ull-time contract to work</w:t>
            </w:r>
            <w:r w:rsidR="00FB427B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on a research proje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ct and enjoy advanced training</w:t>
            </w:r>
            <w:r w:rsidR="00660B6F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,</w:t>
            </w:r>
          </w:p>
          <w:p w14:paraId="2911A71F" w14:textId="0775BB27" w:rsidR="00E73361" w:rsidRPr="006078C8" w:rsidRDefault="00660B6F" w:rsidP="00B367DC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hanging="9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461E4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C</w:t>
            </w:r>
            <w:r w:rsidR="00FB427B" w:rsidRPr="00461E4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ompetitive salary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–</w:t>
            </w:r>
            <w:r w:rsidR="00867D9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(€ 5 080*</w:t>
            </w:r>
            <w:r w:rsidR="654C8712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0.79</w:t>
            </w:r>
            <w:r w:rsidR="4179FB64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1)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867D97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= </w:t>
            </w:r>
            <w:r w:rsidR="00B367DC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gross amount, including compulsory deductions under national law, such as employer and employee social security contributions and direct </w:t>
            </w:r>
            <w:proofErr w:type="gramStart"/>
            <w:r w:rsidR="00B367DC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taxes;</w:t>
            </w:r>
            <w:proofErr w:type="gramEnd"/>
          </w:p>
          <w:p w14:paraId="211F2BA3" w14:textId="0170E419" w:rsidR="00E73361" w:rsidRPr="006078C8" w:rsidRDefault="00660B6F" w:rsidP="00E73361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Mobility </w:t>
            </w:r>
            <w:r w:rsidR="00755917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(€ 600) 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and F</w:t>
            </w:r>
            <w:r w:rsidR="00FB427B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amily allowances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755917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(if applicable - </w:t>
            </w:r>
            <w:r w:rsidR="007E7783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br/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€ 660</w:t>
            </w:r>
            <w:proofErr w:type="gram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  <w:r w:rsidR="00B367DC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;</w:t>
            </w:r>
            <w:proofErr w:type="gramEnd"/>
            <w:r w:rsidR="00FB427B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</w:p>
          <w:p w14:paraId="091CBA27" w14:textId="73DA3E93" w:rsidR="00660B6F" w:rsidRPr="006078C8" w:rsidRDefault="00660B6F" w:rsidP="00660B6F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firstLine="0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Budget for Research, Training and N</w:t>
            </w:r>
            <w:r w:rsidR="00FB427B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etworking costs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 </w:t>
            </w:r>
            <w:r w:rsidR="00914BEC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br/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(€</w:t>
            </w:r>
            <w:r w:rsidR="006D4876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 </w:t>
            </w: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1 000</w:t>
            </w:r>
            <w:proofErr w:type="gram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)</w:t>
            </w:r>
            <w:r w:rsidR="00B367DC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;</w:t>
            </w:r>
            <w:proofErr w:type="gramEnd"/>
          </w:p>
          <w:p w14:paraId="008BCCA1" w14:textId="6F6E466B" w:rsidR="00660B6F" w:rsidRPr="006078C8" w:rsidRDefault="00660B6F" w:rsidP="00660B6F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ind w:left="2" w:hanging="2"/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Special needs allowance (if applicable)</w:t>
            </w:r>
            <w:r w:rsidR="00B367DC"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en-GB"/>
              </w:rPr>
              <w:t>.</w:t>
            </w:r>
          </w:p>
        </w:tc>
      </w:tr>
      <w:tr w:rsidR="006078C8" w:rsidRPr="006078C8" w14:paraId="6532F360" w14:textId="77777777" w:rsidTr="6ABBDE6D">
        <w:tc>
          <w:tcPr>
            <w:tcW w:w="3371" w:type="dxa"/>
          </w:tcPr>
          <w:p w14:paraId="30624BCB" w14:textId="1AD3A679" w:rsidR="00E73361" w:rsidRPr="006078C8" w:rsidRDefault="006078C8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Eligibility of Applicants</w:t>
            </w:r>
          </w:p>
        </w:tc>
        <w:tc>
          <w:tcPr>
            <w:tcW w:w="6411" w:type="dxa"/>
          </w:tcPr>
          <w:p w14:paraId="26F9F87E" w14:textId="77777777" w:rsidR="00E73361" w:rsidRPr="00914BEC" w:rsidRDefault="00171E82" w:rsidP="008519EB">
            <w:pPr>
              <w:pStyle w:val="Odstavecseseznamem"/>
              <w:tabs>
                <w:tab w:val="left" w:pos="286"/>
              </w:tabs>
              <w:autoSpaceDE w:val="0"/>
              <w:autoSpaceDN w:val="0"/>
              <w:adjustRightInd w:val="0"/>
              <w:ind w:left="2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2BAB7A4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  <w:t>Experience:</w:t>
            </w:r>
          </w:p>
          <w:p w14:paraId="0DE3E433" w14:textId="22472FE9" w:rsidR="00171E82" w:rsidRPr="006078C8" w:rsidRDefault="00171E82" w:rsidP="00D6341A">
            <w:pPr>
              <w:pStyle w:val="Odstavecseseznamem"/>
              <w:numPr>
                <w:ilvl w:val="0"/>
                <w:numId w:val="32"/>
              </w:numPr>
              <w:tabs>
                <w:tab w:val="left" w:pos="569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Applicants should be in a possession of a doctoral degree at the call deadline</w:t>
            </w:r>
            <w:r w:rsidR="008E0052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(applicants who have successfully defended their doctoral thesis but who have not yet formally been awarded the doctoral degree will also be considered eligible to apply)</w:t>
            </w:r>
            <w:r w:rsidR="00E972B7" w:rsidRPr="00607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.</w:t>
            </w:r>
          </w:p>
          <w:p w14:paraId="06D943C0" w14:textId="41234796" w:rsidR="00171E82" w:rsidRPr="006078C8" w:rsidRDefault="00E972B7" w:rsidP="00D6341A">
            <w:pPr>
              <w:pStyle w:val="Odstavecseseznamem"/>
              <w:numPr>
                <w:ilvl w:val="0"/>
                <w:numId w:val="32"/>
              </w:numPr>
              <w:tabs>
                <w:tab w:val="left" w:pos="569"/>
                <w:tab w:val="left" w:pos="602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2BAB7A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At the call deadline, supported researchers must have a maximum of 8 years full-time equivalent experience in research, measured from the date of award of the doctoral degree</w:t>
            </w:r>
            <w:r w:rsidR="008E0052" w:rsidRPr="2BAB7A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(exceptions</w:t>
            </w:r>
            <w:r w:rsidR="00B357D9" w:rsidRPr="2BAB7A45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B357D9" w:rsidRPr="2BAB7A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that will not count towards the amount of research experience</w:t>
            </w:r>
            <w:r w:rsidR="008E0052" w:rsidRPr="2BAB7A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: career breaks, work outside research, research outside Europe for reintegrating researchers)</w:t>
            </w:r>
            <w:r w:rsidRPr="2BAB7A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.</w:t>
            </w:r>
          </w:p>
          <w:p w14:paraId="5D591B8E" w14:textId="3B34D523" w:rsidR="2BAB7A45" w:rsidRDefault="2BAB7A45" w:rsidP="2BAB7A45">
            <w:pPr>
              <w:pStyle w:val="Odstavecseseznamem"/>
              <w:numPr>
                <w:ilvl w:val="0"/>
                <w:numId w:val="32"/>
              </w:numPr>
              <w:tabs>
                <w:tab w:val="left" w:pos="569"/>
                <w:tab w:val="left" w:pos="602"/>
              </w:tabs>
              <w:rPr>
                <w:color w:val="002060"/>
                <w:sz w:val="24"/>
                <w:szCs w:val="24"/>
                <w:lang w:val="en-US" w:eastAsia="bg-BG"/>
              </w:rPr>
            </w:pPr>
            <w:r w:rsidRPr="004647C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  <w:t>Applicants should have experience in the field of biosystems engineering and/or agriculture. Experience can be proven by the article, thesis, project or working experience in the agricultural company</w:t>
            </w:r>
            <w:r w:rsidRPr="27EA64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.</w:t>
            </w:r>
          </w:p>
          <w:p w14:paraId="260F4C5E" w14:textId="1B0ACD61" w:rsidR="00171E82" w:rsidRPr="00914BEC" w:rsidRDefault="00171E82" w:rsidP="008519EB">
            <w:pPr>
              <w:pStyle w:val="Odstavecseseznamem"/>
              <w:tabs>
                <w:tab w:val="left" w:pos="286"/>
              </w:tabs>
              <w:spacing w:before="120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</w:pPr>
            <w:r w:rsidRPr="00914BE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  <w:lastRenderedPageBreak/>
              <w:t>Mobility rule:</w:t>
            </w:r>
            <w:r w:rsidR="00B5589B" w:rsidRPr="00914BE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  <w:t xml:space="preserve"> </w:t>
            </w:r>
          </w:p>
          <w:p w14:paraId="3BBB7A42" w14:textId="5B6A4FC0" w:rsidR="008E0052" w:rsidRPr="00D6341A" w:rsidRDefault="008E0052" w:rsidP="00D6341A">
            <w:pPr>
              <w:pStyle w:val="Odstavecseseznamem"/>
              <w:numPr>
                <w:ilvl w:val="0"/>
                <w:numId w:val="31"/>
              </w:numPr>
              <w:tabs>
                <w:tab w:val="left" w:pos="569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researchers of any nationality</w:t>
            </w:r>
          </w:p>
          <w:p w14:paraId="769A0FF3" w14:textId="22F21279" w:rsidR="00B5589B" w:rsidRPr="00D6341A" w:rsidRDefault="00B5589B" w:rsidP="00BD3D4D">
            <w:pPr>
              <w:pStyle w:val="Odstavecseseznamem"/>
              <w:numPr>
                <w:ilvl w:val="0"/>
                <w:numId w:val="31"/>
              </w:numPr>
              <w:tabs>
                <w:tab w:val="left" w:pos="569"/>
                <w:tab w:val="left" w:pos="602"/>
              </w:tabs>
              <w:spacing w:before="120"/>
              <w:ind w:left="714" w:hanging="35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European Postdoctoral Fellowships - a</w:t>
            </w:r>
            <w:r w:rsidR="00171E82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pplicant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s</w:t>
            </w:r>
            <w:r w:rsidR="00171E82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must not have resided or carried out their main activity (work, studies, etc.) in the</w:t>
            </w: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country of the beneficiary for more than 12 months in the 36 months immediately before the call deadline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, </w:t>
            </w:r>
          </w:p>
          <w:p w14:paraId="769E1BF0" w14:textId="77777777" w:rsidR="00171E82" w:rsidRPr="00D6341A" w:rsidRDefault="00B5589B" w:rsidP="00D6341A">
            <w:pPr>
              <w:pStyle w:val="Odstavecseseznamem"/>
              <w:numPr>
                <w:ilvl w:val="0"/>
                <w:numId w:val="31"/>
              </w:numPr>
              <w:tabs>
                <w:tab w:val="left" w:pos="569"/>
                <w:tab w:val="left" w:pos="602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Global Postdoctoral Fellowships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</w:t>
            </w: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- applicants must not have resided or carried out their main activity (work, studies, etc.) in the country of 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the host </w:t>
            </w:r>
            <w:proofErr w:type="spellStart"/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organisation</w:t>
            </w:r>
            <w:proofErr w:type="spellEnd"/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for the </w:t>
            </w: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outgoing phase</w:t>
            </w:r>
            <w:r w:rsidR="00E972B7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for more than 12 months in the 36 months immediately before the call deadline.</w:t>
            </w:r>
          </w:p>
          <w:p w14:paraId="460266EA" w14:textId="1463345F" w:rsidR="008E0052" w:rsidRPr="00D6341A" w:rsidRDefault="008E0052" w:rsidP="00D6341A">
            <w:pPr>
              <w:pStyle w:val="Odstavecseseznamem"/>
              <w:numPr>
                <w:ilvl w:val="0"/>
                <w:numId w:val="31"/>
              </w:numPr>
              <w:tabs>
                <w:tab w:val="left" w:pos="569"/>
                <w:tab w:val="left" w:pos="602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Researchers reintegrating from a TC must either be based in a TC at the call </w:t>
            </w:r>
            <w:r w:rsidR="00185B02"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>deadline or</w:t>
            </w:r>
            <w:r w:rsidRPr="00D63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  <w:t xml:space="preserve"> have moved directly from a TC to an EU MS or HE AC within the last 12 months before the call deadline.</w:t>
            </w:r>
          </w:p>
        </w:tc>
      </w:tr>
      <w:tr w:rsidR="006078C8" w:rsidRPr="006078C8" w14:paraId="49BA453F" w14:textId="77777777" w:rsidTr="6ABBDE6D">
        <w:tc>
          <w:tcPr>
            <w:tcW w:w="3371" w:type="dxa"/>
          </w:tcPr>
          <w:p w14:paraId="73EA2F2B" w14:textId="236819E7" w:rsidR="006078C8" w:rsidRPr="006078C8" w:rsidRDefault="006078C8" w:rsidP="00F26BEB">
            <w:pPr>
              <w:autoSpaceDE w:val="0"/>
              <w:autoSpaceDN w:val="0"/>
              <w:adjustRightInd w:val="0"/>
              <w:ind w:right="106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GB"/>
              </w:rPr>
              <w:t>Additional Funding Opportunity</w:t>
            </w:r>
          </w:p>
        </w:tc>
        <w:tc>
          <w:tcPr>
            <w:tcW w:w="6411" w:type="dxa"/>
          </w:tcPr>
          <w:p w14:paraId="356958AA" w14:textId="77777777" w:rsidR="006078C8" w:rsidRPr="006078C8" w:rsidRDefault="006078C8" w:rsidP="006078C8">
            <w:pPr>
              <w:ind w:left="67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cs-CZ"/>
              </w:rPr>
            </w:pPr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cs-CZ"/>
              </w:rPr>
              <w:t xml:space="preserve">ERA </w:t>
            </w:r>
            <w:proofErr w:type="spellStart"/>
            <w:r w:rsidRPr="006078C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cs-CZ"/>
              </w:rPr>
              <w:t>Fellowships</w:t>
            </w:r>
            <w:proofErr w:type="spellEnd"/>
          </w:p>
          <w:p w14:paraId="257B4A66" w14:textId="77777777" w:rsidR="006078C8" w:rsidRPr="006078C8" w:rsidRDefault="006078C8" w:rsidP="006078C8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It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is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open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researchers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of any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nationality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who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wish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engage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in R&amp;I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projects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by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either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coming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Europe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from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any country in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world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or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moving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within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Europe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a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Widening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Country. </w:t>
            </w:r>
          </w:p>
          <w:p w14:paraId="05E20054" w14:textId="77777777" w:rsidR="006078C8" w:rsidRPr="006078C8" w:rsidRDefault="006078C8" w:rsidP="006078C8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In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order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apply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for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ERA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Fellowships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call,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applicants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need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submit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their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proposal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2021 MSCA PF call. </w:t>
            </w:r>
          </w:p>
          <w:p w14:paraId="4A333EC0" w14:textId="77777777" w:rsidR="006078C8" w:rsidRPr="006078C8" w:rsidRDefault="006078C8" w:rsidP="006078C8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be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eligible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this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call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host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organisation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must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be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located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an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eligible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widening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country. </w:t>
            </w:r>
          </w:p>
          <w:p w14:paraId="64F267FA" w14:textId="77777777" w:rsidR="006078C8" w:rsidRPr="00CA5D70" w:rsidRDefault="006078C8" w:rsidP="006078C8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bg-BG"/>
              </w:rPr>
            </w:pP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application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MSCA PF call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will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be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automatically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resubmitted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this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call in case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proposal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fails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reach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an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adequate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place in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ranking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be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funded</w:t>
            </w:r>
            <w:proofErr w:type="spellEnd"/>
            <w:r w:rsidRPr="006078C8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.</w:t>
            </w:r>
          </w:p>
          <w:p w14:paraId="7A276B2A" w14:textId="3AA12C93" w:rsidR="00CA5D70" w:rsidRDefault="00CA5D70" w:rsidP="00CA5D70">
            <w:p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</w:pPr>
            <w:r w:rsidRPr="00CA5D7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bg-BG"/>
              </w:rPr>
              <w:t>OP JAC</w:t>
            </w:r>
          </w:p>
          <w:p w14:paraId="337AB6B3" w14:textId="3843AE9D" w:rsidR="00461E40" w:rsidRPr="00461E40" w:rsidRDefault="00461E40" w:rsidP="00461E4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Operational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Programme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John Amos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Comenius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(OP JAC) </w:t>
            </w:r>
          </w:p>
          <w:p w14:paraId="05BFB118" w14:textId="191913A0" w:rsidR="00461E40" w:rsidRPr="00461E40" w:rsidRDefault="00461E40" w:rsidP="00461E4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Provider: Ministry of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Education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Youth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Sports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r w:rsidR="00B6255E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CZ </w:t>
            </w:r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(MEYS)</w:t>
            </w:r>
          </w:p>
          <w:p w14:paraId="25F9A4CF" w14:textId="2A629681" w:rsidR="00461E40" w:rsidRPr="00461E40" w:rsidRDefault="00461E40" w:rsidP="00461E4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Proposals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which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obtained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a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high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score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in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MSCA PF call (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at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least </w:t>
            </w:r>
            <w:proofErr w:type="gram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70%</w:t>
            </w:r>
            <w:proofErr w:type="gram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) but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were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not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funded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under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</w:p>
          <w:p w14:paraId="753470CA" w14:textId="77777777" w:rsidR="00461E40" w:rsidRPr="00461E40" w:rsidRDefault="00461E40" w:rsidP="00461E4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that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call </w:t>
            </w:r>
          </w:p>
          <w:p w14:paraId="7A2071CA" w14:textId="6FB2887A" w:rsidR="00CA5D70" w:rsidRPr="00461E40" w:rsidRDefault="00461E40" w:rsidP="00461E4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</w:pPr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Support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for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arrivals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to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Czech Republic and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departures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from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>the</w:t>
            </w:r>
            <w:proofErr w:type="spellEnd"/>
            <w:r w:rsidRPr="00461E40">
              <w:rPr>
                <w:rFonts w:ascii="Times New Roman" w:hAnsi="Times New Roman" w:cs="Times New Roman"/>
                <w:color w:val="002060"/>
                <w:sz w:val="24"/>
                <w:szCs w:val="24"/>
                <w:lang w:val="cs-CZ"/>
              </w:rPr>
              <w:t xml:space="preserve"> Czech Republic</w:t>
            </w:r>
          </w:p>
        </w:tc>
      </w:tr>
    </w:tbl>
    <w:p w14:paraId="29D07C3B" w14:textId="7981D30F" w:rsidR="00DA0545" w:rsidRPr="00D21045" w:rsidRDefault="00DA0545" w:rsidP="00D21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87D"/>
          <w:sz w:val="24"/>
          <w:szCs w:val="24"/>
          <w:lang w:val="en-US" w:eastAsia="bg-BG"/>
        </w:rPr>
      </w:pPr>
    </w:p>
    <w:sectPr w:rsidR="00DA0545" w:rsidRPr="00D21045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5A29" w14:textId="77777777" w:rsidR="000B0B96" w:rsidRDefault="000B0B96" w:rsidP="00105C7B">
      <w:pPr>
        <w:spacing w:after="0" w:line="240" w:lineRule="auto"/>
      </w:pPr>
      <w:r>
        <w:separator/>
      </w:r>
    </w:p>
  </w:endnote>
  <w:endnote w:type="continuationSeparator" w:id="0">
    <w:p w14:paraId="20C84827" w14:textId="77777777" w:rsidR="000B0B96" w:rsidRDefault="000B0B96" w:rsidP="00105C7B">
      <w:pPr>
        <w:spacing w:after="0" w:line="240" w:lineRule="auto"/>
      </w:pPr>
      <w:r>
        <w:continuationSeparator/>
      </w:r>
    </w:p>
  </w:endnote>
  <w:endnote w:type="continuationNotice" w:id="1">
    <w:p w14:paraId="04CFA867" w14:textId="77777777" w:rsidR="000B0B96" w:rsidRDefault="000B0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DE3B" w14:textId="77777777" w:rsidR="000B0B96" w:rsidRDefault="000B0B96" w:rsidP="00105C7B">
      <w:pPr>
        <w:spacing w:after="0" w:line="240" w:lineRule="auto"/>
      </w:pPr>
      <w:r>
        <w:separator/>
      </w:r>
    </w:p>
  </w:footnote>
  <w:footnote w:type="continuationSeparator" w:id="0">
    <w:p w14:paraId="0BE80510" w14:textId="77777777" w:rsidR="000B0B96" w:rsidRDefault="000B0B96" w:rsidP="00105C7B">
      <w:pPr>
        <w:spacing w:after="0" w:line="240" w:lineRule="auto"/>
      </w:pPr>
      <w:r>
        <w:continuationSeparator/>
      </w:r>
    </w:p>
  </w:footnote>
  <w:footnote w:type="continuationNotice" w:id="1">
    <w:p w14:paraId="0BFED7E1" w14:textId="77777777" w:rsidR="000B0B96" w:rsidRDefault="000B0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0C4" w14:textId="3948F581" w:rsidR="001F66C1" w:rsidRPr="001F66C1" w:rsidRDefault="00B357D9" w:rsidP="00B357D9">
    <w:pPr>
      <w:pStyle w:val="Zhlav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0B88CF79" wp14:editId="1D2EC60A">
          <wp:extent cx="2406650" cy="80962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62B"/>
    <w:multiLevelType w:val="hybridMultilevel"/>
    <w:tmpl w:val="AD5C3B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7AF"/>
    <w:multiLevelType w:val="hybridMultilevel"/>
    <w:tmpl w:val="E368BEA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1638"/>
    <w:multiLevelType w:val="hybridMultilevel"/>
    <w:tmpl w:val="39BE7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17985"/>
    <w:multiLevelType w:val="hybridMultilevel"/>
    <w:tmpl w:val="83C25288"/>
    <w:lvl w:ilvl="0" w:tplc="8D28C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BEB"/>
    <w:multiLevelType w:val="hybridMultilevel"/>
    <w:tmpl w:val="A00EE292"/>
    <w:lvl w:ilvl="0" w:tplc="B02070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D7E3C"/>
    <w:multiLevelType w:val="hybridMultilevel"/>
    <w:tmpl w:val="52A61F90"/>
    <w:lvl w:ilvl="0" w:tplc="29783F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644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010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C32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C47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C41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D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ED1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C8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E4D78"/>
    <w:multiLevelType w:val="hybridMultilevel"/>
    <w:tmpl w:val="745EA0A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2D0B"/>
    <w:multiLevelType w:val="hybridMultilevel"/>
    <w:tmpl w:val="E27AE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E47E0"/>
    <w:multiLevelType w:val="hybridMultilevel"/>
    <w:tmpl w:val="9B30FCF2"/>
    <w:lvl w:ilvl="0" w:tplc="7CF8A83C">
      <w:start w:val="1"/>
      <w:numFmt w:val="decimal"/>
      <w:lvlText w:val="%1."/>
      <w:lvlJc w:val="left"/>
      <w:pPr>
        <w:ind w:left="720" w:hanging="360"/>
      </w:pPr>
      <w:rPr>
        <w:rFonts w:hint="default"/>
        <w:color w:val="1F287D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773"/>
    <w:multiLevelType w:val="hybridMultilevel"/>
    <w:tmpl w:val="EDCAD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719DF"/>
    <w:multiLevelType w:val="hybridMultilevel"/>
    <w:tmpl w:val="432C4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0A87"/>
    <w:multiLevelType w:val="hybridMultilevel"/>
    <w:tmpl w:val="11A07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54210"/>
    <w:multiLevelType w:val="hybridMultilevel"/>
    <w:tmpl w:val="55109E0C"/>
    <w:lvl w:ilvl="0" w:tplc="9BFC8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88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691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E7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EC3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EB1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432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6A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A8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40924"/>
    <w:multiLevelType w:val="hybridMultilevel"/>
    <w:tmpl w:val="8B50F430"/>
    <w:lvl w:ilvl="0" w:tplc="72D82F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4172"/>
    <w:multiLevelType w:val="hybridMultilevel"/>
    <w:tmpl w:val="C8248C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F3F9C"/>
    <w:multiLevelType w:val="hybridMultilevel"/>
    <w:tmpl w:val="091A7858"/>
    <w:lvl w:ilvl="0" w:tplc="31001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0A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4CA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659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466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022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02B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816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D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93539"/>
    <w:multiLevelType w:val="hybridMultilevel"/>
    <w:tmpl w:val="1DD02E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535FC"/>
    <w:multiLevelType w:val="hybridMultilevel"/>
    <w:tmpl w:val="6C849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2174"/>
    <w:multiLevelType w:val="hybridMultilevel"/>
    <w:tmpl w:val="4C744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D4781"/>
    <w:multiLevelType w:val="hybridMultilevel"/>
    <w:tmpl w:val="95020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E0642"/>
    <w:multiLevelType w:val="hybridMultilevel"/>
    <w:tmpl w:val="6026E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F688E"/>
    <w:multiLevelType w:val="hybridMultilevel"/>
    <w:tmpl w:val="BBEAA6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737BA"/>
    <w:multiLevelType w:val="hybridMultilevel"/>
    <w:tmpl w:val="9B4C3708"/>
    <w:lvl w:ilvl="0" w:tplc="4EDE2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C5E0C"/>
    <w:multiLevelType w:val="hybridMultilevel"/>
    <w:tmpl w:val="7A3CAAD8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53F814A5"/>
    <w:multiLevelType w:val="hybridMultilevel"/>
    <w:tmpl w:val="6B1EB7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63431"/>
    <w:multiLevelType w:val="hybridMultilevel"/>
    <w:tmpl w:val="09D240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5A2F"/>
    <w:multiLevelType w:val="hybridMultilevel"/>
    <w:tmpl w:val="28220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628BB"/>
    <w:multiLevelType w:val="hybridMultilevel"/>
    <w:tmpl w:val="6DACDE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F1EFF"/>
    <w:multiLevelType w:val="hybridMultilevel"/>
    <w:tmpl w:val="9DD43BAC"/>
    <w:lvl w:ilvl="0" w:tplc="8FA2CF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88B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DC12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66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06ED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F8AB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AC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4EE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CAB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10692"/>
    <w:multiLevelType w:val="hybridMultilevel"/>
    <w:tmpl w:val="A2A408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A61B3"/>
    <w:multiLevelType w:val="hybridMultilevel"/>
    <w:tmpl w:val="D8802A60"/>
    <w:lvl w:ilvl="0" w:tplc="A39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224C9"/>
    <w:multiLevelType w:val="hybridMultilevel"/>
    <w:tmpl w:val="DED401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0526"/>
    <w:multiLevelType w:val="hybridMultilevel"/>
    <w:tmpl w:val="43C40436"/>
    <w:lvl w:ilvl="0" w:tplc="E4261F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2B5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208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CF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E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0BC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855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0D0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AC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63919"/>
    <w:multiLevelType w:val="hybridMultilevel"/>
    <w:tmpl w:val="6F34B9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80F08"/>
    <w:multiLevelType w:val="hybridMultilevel"/>
    <w:tmpl w:val="C89466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D79"/>
    <w:multiLevelType w:val="hybridMultilevel"/>
    <w:tmpl w:val="BF747738"/>
    <w:lvl w:ilvl="0" w:tplc="EBCC7B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70208"/>
    <w:multiLevelType w:val="hybridMultilevel"/>
    <w:tmpl w:val="09848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C042E"/>
    <w:multiLevelType w:val="hybridMultilevel"/>
    <w:tmpl w:val="0556FD5A"/>
    <w:lvl w:ilvl="0" w:tplc="BCEEA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D29CD"/>
    <w:multiLevelType w:val="hybridMultilevel"/>
    <w:tmpl w:val="D382B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55AF0"/>
    <w:multiLevelType w:val="hybridMultilevel"/>
    <w:tmpl w:val="030A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162DE"/>
    <w:multiLevelType w:val="hybridMultilevel"/>
    <w:tmpl w:val="6B66A4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767F1"/>
    <w:multiLevelType w:val="hybridMultilevel"/>
    <w:tmpl w:val="CBF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858C5"/>
    <w:multiLevelType w:val="hybridMultilevel"/>
    <w:tmpl w:val="C4FEC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5"/>
  </w:num>
  <w:num w:numId="4">
    <w:abstractNumId w:val="12"/>
  </w:num>
  <w:num w:numId="5">
    <w:abstractNumId w:val="5"/>
  </w:num>
  <w:num w:numId="6">
    <w:abstractNumId w:val="22"/>
  </w:num>
  <w:num w:numId="7">
    <w:abstractNumId w:val="8"/>
  </w:num>
  <w:num w:numId="8">
    <w:abstractNumId w:val="3"/>
  </w:num>
  <w:num w:numId="9">
    <w:abstractNumId w:val="37"/>
  </w:num>
  <w:num w:numId="10">
    <w:abstractNumId w:val="30"/>
  </w:num>
  <w:num w:numId="11">
    <w:abstractNumId w:val="36"/>
  </w:num>
  <w:num w:numId="12">
    <w:abstractNumId w:val="35"/>
  </w:num>
  <w:num w:numId="13">
    <w:abstractNumId w:val="40"/>
  </w:num>
  <w:num w:numId="14">
    <w:abstractNumId w:val="19"/>
  </w:num>
  <w:num w:numId="15">
    <w:abstractNumId w:val="7"/>
  </w:num>
  <w:num w:numId="16">
    <w:abstractNumId w:val="11"/>
  </w:num>
  <w:num w:numId="17">
    <w:abstractNumId w:val="18"/>
  </w:num>
  <w:num w:numId="18">
    <w:abstractNumId w:val="13"/>
  </w:num>
  <w:num w:numId="19">
    <w:abstractNumId w:val="4"/>
  </w:num>
  <w:num w:numId="20">
    <w:abstractNumId w:val="42"/>
  </w:num>
  <w:num w:numId="21">
    <w:abstractNumId w:val="23"/>
  </w:num>
  <w:num w:numId="22">
    <w:abstractNumId w:val="14"/>
  </w:num>
  <w:num w:numId="23">
    <w:abstractNumId w:val="38"/>
  </w:num>
  <w:num w:numId="24">
    <w:abstractNumId w:val="9"/>
  </w:num>
  <w:num w:numId="25">
    <w:abstractNumId w:val="26"/>
  </w:num>
  <w:num w:numId="26">
    <w:abstractNumId w:val="17"/>
  </w:num>
  <w:num w:numId="27">
    <w:abstractNumId w:val="1"/>
  </w:num>
  <w:num w:numId="28">
    <w:abstractNumId w:val="27"/>
  </w:num>
  <w:num w:numId="29">
    <w:abstractNumId w:val="16"/>
  </w:num>
  <w:num w:numId="30">
    <w:abstractNumId w:val="29"/>
  </w:num>
  <w:num w:numId="31">
    <w:abstractNumId w:val="0"/>
  </w:num>
  <w:num w:numId="32">
    <w:abstractNumId w:val="24"/>
  </w:num>
  <w:num w:numId="33">
    <w:abstractNumId w:val="34"/>
  </w:num>
  <w:num w:numId="34">
    <w:abstractNumId w:val="6"/>
  </w:num>
  <w:num w:numId="35">
    <w:abstractNumId w:val="41"/>
  </w:num>
  <w:num w:numId="36">
    <w:abstractNumId w:val="2"/>
  </w:num>
  <w:num w:numId="37">
    <w:abstractNumId w:val="39"/>
  </w:num>
  <w:num w:numId="38">
    <w:abstractNumId w:val="21"/>
  </w:num>
  <w:num w:numId="39">
    <w:abstractNumId w:val="10"/>
  </w:num>
  <w:num w:numId="40">
    <w:abstractNumId w:val="20"/>
  </w:num>
  <w:num w:numId="41">
    <w:abstractNumId w:val="31"/>
  </w:num>
  <w:num w:numId="42">
    <w:abstractNumId w:val="2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MTY2NTaztDQ3MDBW0lEKTi0uzszPAymwqAUAygEJySwAAAA="/>
  </w:docVars>
  <w:rsids>
    <w:rsidRoot w:val="00105C7B"/>
    <w:rsid w:val="000042A1"/>
    <w:rsid w:val="00022F50"/>
    <w:rsid w:val="000257D7"/>
    <w:rsid w:val="00034FB6"/>
    <w:rsid w:val="000511DE"/>
    <w:rsid w:val="000560AB"/>
    <w:rsid w:val="00060370"/>
    <w:rsid w:val="00063473"/>
    <w:rsid w:val="00063DE4"/>
    <w:rsid w:val="00071C0B"/>
    <w:rsid w:val="0008226D"/>
    <w:rsid w:val="000945A3"/>
    <w:rsid w:val="000962F8"/>
    <w:rsid w:val="000B0001"/>
    <w:rsid w:val="000B0B96"/>
    <w:rsid w:val="000B1FF5"/>
    <w:rsid w:val="000B5257"/>
    <w:rsid w:val="000B58E1"/>
    <w:rsid w:val="000C488F"/>
    <w:rsid w:val="000D2068"/>
    <w:rsid w:val="000D72B6"/>
    <w:rsid w:val="000E21C5"/>
    <w:rsid w:val="000E4C8F"/>
    <w:rsid w:val="00105C7B"/>
    <w:rsid w:val="0011602A"/>
    <w:rsid w:val="0011774F"/>
    <w:rsid w:val="00120A83"/>
    <w:rsid w:val="00121833"/>
    <w:rsid w:val="00125AEC"/>
    <w:rsid w:val="00126898"/>
    <w:rsid w:val="00141914"/>
    <w:rsid w:val="00146C0E"/>
    <w:rsid w:val="00162BD9"/>
    <w:rsid w:val="00164588"/>
    <w:rsid w:val="00166BFF"/>
    <w:rsid w:val="0017065E"/>
    <w:rsid w:val="00171E82"/>
    <w:rsid w:val="00172C01"/>
    <w:rsid w:val="00173358"/>
    <w:rsid w:val="00173D10"/>
    <w:rsid w:val="00182640"/>
    <w:rsid w:val="00184E67"/>
    <w:rsid w:val="00185B02"/>
    <w:rsid w:val="00192202"/>
    <w:rsid w:val="00195484"/>
    <w:rsid w:val="001A512F"/>
    <w:rsid w:val="001B0641"/>
    <w:rsid w:val="001B6BC2"/>
    <w:rsid w:val="001B6DA0"/>
    <w:rsid w:val="001C1D56"/>
    <w:rsid w:val="001C7E0D"/>
    <w:rsid w:val="001D45B6"/>
    <w:rsid w:val="001D5470"/>
    <w:rsid w:val="001E10D9"/>
    <w:rsid w:val="001E6B11"/>
    <w:rsid w:val="001F573E"/>
    <w:rsid w:val="001F66C1"/>
    <w:rsid w:val="002047A4"/>
    <w:rsid w:val="00221787"/>
    <w:rsid w:val="00222B1B"/>
    <w:rsid w:val="00230753"/>
    <w:rsid w:val="00232579"/>
    <w:rsid w:val="0024332D"/>
    <w:rsid w:val="00250DBC"/>
    <w:rsid w:val="00251B9B"/>
    <w:rsid w:val="00252BF6"/>
    <w:rsid w:val="00254A7A"/>
    <w:rsid w:val="002659A5"/>
    <w:rsid w:val="0026742D"/>
    <w:rsid w:val="00267528"/>
    <w:rsid w:val="0027474F"/>
    <w:rsid w:val="00276CD4"/>
    <w:rsid w:val="00283197"/>
    <w:rsid w:val="002956A7"/>
    <w:rsid w:val="002A0C7A"/>
    <w:rsid w:val="002A3195"/>
    <w:rsid w:val="002C7262"/>
    <w:rsid w:val="002D68D4"/>
    <w:rsid w:val="002E0D6B"/>
    <w:rsid w:val="002F01BE"/>
    <w:rsid w:val="00307565"/>
    <w:rsid w:val="00311A93"/>
    <w:rsid w:val="00311D76"/>
    <w:rsid w:val="0031448E"/>
    <w:rsid w:val="00314F6B"/>
    <w:rsid w:val="00325F5D"/>
    <w:rsid w:val="00334D57"/>
    <w:rsid w:val="003364D4"/>
    <w:rsid w:val="00343839"/>
    <w:rsid w:val="00354D33"/>
    <w:rsid w:val="00357E02"/>
    <w:rsid w:val="00362E27"/>
    <w:rsid w:val="00370543"/>
    <w:rsid w:val="00371806"/>
    <w:rsid w:val="00373605"/>
    <w:rsid w:val="00380CE9"/>
    <w:rsid w:val="003818FE"/>
    <w:rsid w:val="003822C1"/>
    <w:rsid w:val="00382E21"/>
    <w:rsid w:val="0038664A"/>
    <w:rsid w:val="00390323"/>
    <w:rsid w:val="00393F86"/>
    <w:rsid w:val="00394223"/>
    <w:rsid w:val="00396390"/>
    <w:rsid w:val="003A2642"/>
    <w:rsid w:val="003A2C05"/>
    <w:rsid w:val="003B1B2A"/>
    <w:rsid w:val="003C2925"/>
    <w:rsid w:val="003C5393"/>
    <w:rsid w:val="003C675B"/>
    <w:rsid w:val="003E1788"/>
    <w:rsid w:val="003F1879"/>
    <w:rsid w:val="003F3099"/>
    <w:rsid w:val="0041038B"/>
    <w:rsid w:val="00412813"/>
    <w:rsid w:val="00416602"/>
    <w:rsid w:val="0042182E"/>
    <w:rsid w:val="00423F2E"/>
    <w:rsid w:val="00427E43"/>
    <w:rsid w:val="00432D17"/>
    <w:rsid w:val="00444037"/>
    <w:rsid w:val="00446B29"/>
    <w:rsid w:val="004510E3"/>
    <w:rsid w:val="00456175"/>
    <w:rsid w:val="00456CAF"/>
    <w:rsid w:val="004579DE"/>
    <w:rsid w:val="00460671"/>
    <w:rsid w:val="00461A24"/>
    <w:rsid w:val="00461E40"/>
    <w:rsid w:val="004647CE"/>
    <w:rsid w:val="0046723A"/>
    <w:rsid w:val="00470D9C"/>
    <w:rsid w:val="004729CF"/>
    <w:rsid w:val="00473A4A"/>
    <w:rsid w:val="00473FE5"/>
    <w:rsid w:val="00476B57"/>
    <w:rsid w:val="004841B9"/>
    <w:rsid w:val="004864D9"/>
    <w:rsid w:val="0049782E"/>
    <w:rsid w:val="004B554B"/>
    <w:rsid w:val="004B627E"/>
    <w:rsid w:val="004B63AF"/>
    <w:rsid w:val="004C5F48"/>
    <w:rsid w:val="004C6256"/>
    <w:rsid w:val="004E74F3"/>
    <w:rsid w:val="004E7699"/>
    <w:rsid w:val="004F2B07"/>
    <w:rsid w:val="00502353"/>
    <w:rsid w:val="005033FD"/>
    <w:rsid w:val="00503F3B"/>
    <w:rsid w:val="00506F4F"/>
    <w:rsid w:val="00511391"/>
    <w:rsid w:val="0051449A"/>
    <w:rsid w:val="005268E4"/>
    <w:rsid w:val="005312E8"/>
    <w:rsid w:val="0053158A"/>
    <w:rsid w:val="005426EA"/>
    <w:rsid w:val="0056675B"/>
    <w:rsid w:val="005701AA"/>
    <w:rsid w:val="00571B75"/>
    <w:rsid w:val="00582925"/>
    <w:rsid w:val="005A48BC"/>
    <w:rsid w:val="005B0B4F"/>
    <w:rsid w:val="005B6141"/>
    <w:rsid w:val="005C4D83"/>
    <w:rsid w:val="005D6A62"/>
    <w:rsid w:val="005D7A7E"/>
    <w:rsid w:val="005E10F8"/>
    <w:rsid w:val="005E255B"/>
    <w:rsid w:val="005E26C1"/>
    <w:rsid w:val="005F3661"/>
    <w:rsid w:val="00603082"/>
    <w:rsid w:val="00604FA1"/>
    <w:rsid w:val="006066A0"/>
    <w:rsid w:val="006078C8"/>
    <w:rsid w:val="00614906"/>
    <w:rsid w:val="006170C5"/>
    <w:rsid w:val="00641E18"/>
    <w:rsid w:val="00652469"/>
    <w:rsid w:val="006536AB"/>
    <w:rsid w:val="00660B6F"/>
    <w:rsid w:val="00663973"/>
    <w:rsid w:val="00663DCD"/>
    <w:rsid w:val="00666350"/>
    <w:rsid w:val="006714BE"/>
    <w:rsid w:val="0067716B"/>
    <w:rsid w:val="0067749A"/>
    <w:rsid w:val="00677760"/>
    <w:rsid w:val="006820B3"/>
    <w:rsid w:val="00684129"/>
    <w:rsid w:val="00692A40"/>
    <w:rsid w:val="00694D74"/>
    <w:rsid w:val="00695EE9"/>
    <w:rsid w:val="006A2A65"/>
    <w:rsid w:val="006A41A1"/>
    <w:rsid w:val="006A6BAF"/>
    <w:rsid w:val="006B66A9"/>
    <w:rsid w:val="006B7582"/>
    <w:rsid w:val="006C1AE1"/>
    <w:rsid w:val="006D3954"/>
    <w:rsid w:val="006D4876"/>
    <w:rsid w:val="006E2BC6"/>
    <w:rsid w:val="006F10A1"/>
    <w:rsid w:val="00704AEB"/>
    <w:rsid w:val="00705485"/>
    <w:rsid w:val="00705BB5"/>
    <w:rsid w:val="00720F86"/>
    <w:rsid w:val="007252EA"/>
    <w:rsid w:val="00735F8B"/>
    <w:rsid w:val="00743073"/>
    <w:rsid w:val="0074747E"/>
    <w:rsid w:val="00751E73"/>
    <w:rsid w:val="00755917"/>
    <w:rsid w:val="00760A8B"/>
    <w:rsid w:val="007628E6"/>
    <w:rsid w:val="00794EE4"/>
    <w:rsid w:val="007C1187"/>
    <w:rsid w:val="007C7CD0"/>
    <w:rsid w:val="007D0E1E"/>
    <w:rsid w:val="007E0491"/>
    <w:rsid w:val="007E07DA"/>
    <w:rsid w:val="007E7783"/>
    <w:rsid w:val="007F2BFB"/>
    <w:rsid w:val="007F42C4"/>
    <w:rsid w:val="007F5F51"/>
    <w:rsid w:val="0081013B"/>
    <w:rsid w:val="00810858"/>
    <w:rsid w:val="00811457"/>
    <w:rsid w:val="0081255F"/>
    <w:rsid w:val="00824946"/>
    <w:rsid w:val="00831F0F"/>
    <w:rsid w:val="0084397F"/>
    <w:rsid w:val="008519EB"/>
    <w:rsid w:val="00867D97"/>
    <w:rsid w:val="00872B47"/>
    <w:rsid w:val="00876B55"/>
    <w:rsid w:val="0088086C"/>
    <w:rsid w:val="00882215"/>
    <w:rsid w:val="00883F6B"/>
    <w:rsid w:val="00887D1E"/>
    <w:rsid w:val="00893B86"/>
    <w:rsid w:val="00897C68"/>
    <w:rsid w:val="008A58CF"/>
    <w:rsid w:val="008C2562"/>
    <w:rsid w:val="008C5F83"/>
    <w:rsid w:val="008D6409"/>
    <w:rsid w:val="008E0052"/>
    <w:rsid w:val="008E1EE5"/>
    <w:rsid w:val="008E324B"/>
    <w:rsid w:val="008E5894"/>
    <w:rsid w:val="00906B5F"/>
    <w:rsid w:val="0090794C"/>
    <w:rsid w:val="009139B8"/>
    <w:rsid w:val="00914BEC"/>
    <w:rsid w:val="00916C96"/>
    <w:rsid w:val="00920A2D"/>
    <w:rsid w:val="00936DEA"/>
    <w:rsid w:val="00940D83"/>
    <w:rsid w:val="009427CA"/>
    <w:rsid w:val="00952827"/>
    <w:rsid w:val="009557B4"/>
    <w:rsid w:val="00957120"/>
    <w:rsid w:val="00961515"/>
    <w:rsid w:val="009655F0"/>
    <w:rsid w:val="00983A8F"/>
    <w:rsid w:val="009926B8"/>
    <w:rsid w:val="00996AFB"/>
    <w:rsid w:val="009A7A1A"/>
    <w:rsid w:val="009B4D4A"/>
    <w:rsid w:val="009D1201"/>
    <w:rsid w:val="009D2A04"/>
    <w:rsid w:val="009D5978"/>
    <w:rsid w:val="009D7F2C"/>
    <w:rsid w:val="009E1608"/>
    <w:rsid w:val="00A130C6"/>
    <w:rsid w:val="00A25949"/>
    <w:rsid w:val="00A25C8D"/>
    <w:rsid w:val="00A26ED8"/>
    <w:rsid w:val="00A31278"/>
    <w:rsid w:val="00A371DD"/>
    <w:rsid w:val="00A42875"/>
    <w:rsid w:val="00A47225"/>
    <w:rsid w:val="00A47FD8"/>
    <w:rsid w:val="00A51F9E"/>
    <w:rsid w:val="00A5408B"/>
    <w:rsid w:val="00A664D7"/>
    <w:rsid w:val="00A726E5"/>
    <w:rsid w:val="00A73A44"/>
    <w:rsid w:val="00A90B74"/>
    <w:rsid w:val="00A91A3A"/>
    <w:rsid w:val="00AA0A28"/>
    <w:rsid w:val="00AB2610"/>
    <w:rsid w:val="00AD4E97"/>
    <w:rsid w:val="00AE2698"/>
    <w:rsid w:val="00AF3E9B"/>
    <w:rsid w:val="00B02E96"/>
    <w:rsid w:val="00B11280"/>
    <w:rsid w:val="00B1485E"/>
    <w:rsid w:val="00B34AF7"/>
    <w:rsid w:val="00B357D9"/>
    <w:rsid w:val="00B367DC"/>
    <w:rsid w:val="00B474C4"/>
    <w:rsid w:val="00B539D8"/>
    <w:rsid w:val="00B5589B"/>
    <w:rsid w:val="00B60B2B"/>
    <w:rsid w:val="00B6255E"/>
    <w:rsid w:val="00B62BB1"/>
    <w:rsid w:val="00B63921"/>
    <w:rsid w:val="00B64616"/>
    <w:rsid w:val="00B6771D"/>
    <w:rsid w:val="00B813A5"/>
    <w:rsid w:val="00B8288F"/>
    <w:rsid w:val="00B84975"/>
    <w:rsid w:val="00B90634"/>
    <w:rsid w:val="00BB1E0E"/>
    <w:rsid w:val="00BB3112"/>
    <w:rsid w:val="00BD399F"/>
    <w:rsid w:val="00BD3D4D"/>
    <w:rsid w:val="00C01145"/>
    <w:rsid w:val="00C0115E"/>
    <w:rsid w:val="00C12F21"/>
    <w:rsid w:val="00C2594C"/>
    <w:rsid w:val="00C505FE"/>
    <w:rsid w:val="00C65CEC"/>
    <w:rsid w:val="00C67392"/>
    <w:rsid w:val="00C86778"/>
    <w:rsid w:val="00C87D2C"/>
    <w:rsid w:val="00C91010"/>
    <w:rsid w:val="00C94E1F"/>
    <w:rsid w:val="00C95E74"/>
    <w:rsid w:val="00CA1E3B"/>
    <w:rsid w:val="00CA5D70"/>
    <w:rsid w:val="00CB11B9"/>
    <w:rsid w:val="00CB2A2A"/>
    <w:rsid w:val="00CB2EC9"/>
    <w:rsid w:val="00CB4B72"/>
    <w:rsid w:val="00CB506F"/>
    <w:rsid w:val="00CB5E44"/>
    <w:rsid w:val="00CB75F6"/>
    <w:rsid w:val="00CC2409"/>
    <w:rsid w:val="00CE1945"/>
    <w:rsid w:val="00CE3269"/>
    <w:rsid w:val="00CE7DDC"/>
    <w:rsid w:val="00D05332"/>
    <w:rsid w:val="00D06601"/>
    <w:rsid w:val="00D16C94"/>
    <w:rsid w:val="00D16E26"/>
    <w:rsid w:val="00D21045"/>
    <w:rsid w:val="00D21796"/>
    <w:rsid w:val="00D2289D"/>
    <w:rsid w:val="00D46243"/>
    <w:rsid w:val="00D538C3"/>
    <w:rsid w:val="00D55FE9"/>
    <w:rsid w:val="00D6083B"/>
    <w:rsid w:val="00D60BAC"/>
    <w:rsid w:val="00D618D1"/>
    <w:rsid w:val="00D6341A"/>
    <w:rsid w:val="00D637ED"/>
    <w:rsid w:val="00D66500"/>
    <w:rsid w:val="00D674EB"/>
    <w:rsid w:val="00D707DF"/>
    <w:rsid w:val="00D733D1"/>
    <w:rsid w:val="00D76AB9"/>
    <w:rsid w:val="00D831A5"/>
    <w:rsid w:val="00D940F0"/>
    <w:rsid w:val="00D94DA7"/>
    <w:rsid w:val="00DA0545"/>
    <w:rsid w:val="00DA3975"/>
    <w:rsid w:val="00DA5CD2"/>
    <w:rsid w:val="00DA632B"/>
    <w:rsid w:val="00DA6470"/>
    <w:rsid w:val="00DB7B37"/>
    <w:rsid w:val="00DC0D49"/>
    <w:rsid w:val="00DC2B91"/>
    <w:rsid w:val="00DC406A"/>
    <w:rsid w:val="00DC414F"/>
    <w:rsid w:val="00DD1542"/>
    <w:rsid w:val="00DE670B"/>
    <w:rsid w:val="00DF7918"/>
    <w:rsid w:val="00E02121"/>
    <w:rsid w:val="00E2363A"/>
    <w:rsid w:val="00E2779B"/>
    <w:rsid w:val="00E34F1C"/>
    <w:rsid w:val="00E4350F"/>
    <w:rsid w:val="00E43B59"/>
    <w:rsid w:val="00E44262"/>
    <w:rsid w:val="00E53F92"/>
    <w:rsid w:val="00E551C4"/>
    <w:rsid w:val="00E57434"/>
    <w:rsid w:val="00E66427"/>
    <w:rsid w:val="00E67D95"/>
    <w:rsid w:val="00E73361"/>
    <w:rsid w:val="00E81AA4"/>
    <w:rsid w:val="00E8539C"/>
    <w:rsid w:val="00E87C0A"/>
    <w:rsid w:val="00E91320"/>
    <w:rsid w:val="00E9317F"/>
    <w:rsid w:val="00E9554F"/>
    <w:rsid w:val="00E9681E"/>
    <w:rsid w:val="00E972B7"/>
    <w:rsid w:val="00EA64BD"/>
    <w:rsid w:val="00EC0964"/>
    <w:rsid w:val="00EC4BF2"/>
    <w:rsid w:val="00ED255B"/>
    <w:rsid w:val="00EE1746"/>
    <w:rsid w:val="00EE2152"/>
    <w:rsid w:val="00EE794C"/>
    <w:rsid w:val="00EF11BD"/>
    <w:rsid w:val="00EF3EC6"/>
    <w:rsid w:val="00EF6A1B"/>
    <w:rsid w:val="00F06F16"/>
    <w:rsid w:val="00F144C0"/>
    <w:rsid w:val="00F26BEB"/>
    <w:rsid w:val="00F31BD6"/>
    <w:rsid w:val="00F3705F"/>
    <w:rsid w:val="00F37AF5"/>
    <w:rsid w:val="00F401CB"/>
    <w:rsid w:val="00F500D6"/>
    <w:rsid w:val="00F5445C"/>
    <w:rsid w:val="00F621ED"/>
    <w:rsid w:val="00F646C7"/>
    <w:rsid w:val="00F65A18"/>
    <w:rsid w:val="00F679AA"/>
    <w:rsid w:val="00F87F79"/>
    <w:rsid w:val="00F97336"/>
    <w:rsid w:val="00F97C3E"/>
    <w:rsid w:val="00FA3BBF"/>
    <w:rsid w:val="00FB0381"/>
    <w:rsid w:val="00FB12C4"/>
    <w:rsid w:val="00FB2DEA"/>
    <w:rsid w:val="00FB427B"/>
    <w:rsid w:val="00FC1C3D"/>
    <w:rsid w:val="00FD17D2"/>
    <w:rsid w:val="00FD35C8"/>
    <w:rsid w:val="00FD500C"/>
    <w:rsid w:val="00FE24AC"/>
    <w:rsid w:val="00FE60A5"/>
    <w:rsid w:val="00FF2A10"/>
    <w:rsid w:val="0107BAAE"/>
    <w:rsid w:val="01268516"/>
    <w:rsid w:val="06031561"/>
    <w:rsid w:val="063ACC8D"/>
    <w:rsid w:val="07097E89"/>
    <w:rsid w:val="0744BF34"/>
    <w:rsid w:val="083B562E"/>
    <w:rsid w:val="08E08F95"/>
    <w:rsid w:val="093C1E30"/>
    <w:rsid w:val="0D52C3CF"/>
    <w:rsid w:val="0E04D2C2"/>
    <w:rsid w:val="0F14906E"/>
    <w:rsid w:val="10B060CF"/>
    <w:rsid w:val="124AACC3"/>
    <w:rsid w:val="148F4260"/>
    <w:rsid w:val="14BFD74A"/>
    <w:rsid w:val="165BA7AB"/>
    <w:rsid w:val="17D49575"/>
    <w:rsid w:val="1882BF69"/>
    <w:rsid w:val="190570FB"/>
    <w:rsid w:val="1993486D"/>
    <w:rsid w:val="1D02DBC2"/>
    <w:rsid w:val="1E09F111"/>
    <w:rsid w:val="209196DF"/>
    <w:rsid w:val="27EA6475"/>
    <w:rsid w:val="283355C5"/>
    <w:rsid w:val="28738757"/>
    <w:rsid w:val="29AAACA7"/>
    <w:rsid w:val="2BAB7A45"/>
    <w:rsid w:val="2C57C9C1"/>
    <w:rsid w:val="2C840F1E"/>
    <w:rsid w:val="2CC97B84"/>
    <w:rsid w:val="2CD293AE"/>
    <w:rsid w:val="2DF39A22"/>
    <w:rsid w:val="2EC9A07E"/>
    <w:rsid w:val="3067DB59"/>
    <w:rsid w:val="30A53CCF"/>
    <w:rsid w:val="30F34851"/>
    <w:rsid w:val="335B00E0"/>
    <w:rsid w:val="340540A4"/>
    <w:rsid w:val="349C4DEF"/>
    <w:rsid w:val="34B80170"/>
    <w:rsid w:val="37A16C21"/>
    <w:rsid w:val="3872ED3E"/>
    <w:rsid w:val="394D0769"/>
    <w:rsid w:val="3A399C87"/>
    <w:rsid w:val="3B2742F4"/>
    <w:rsid w:val="3B85A340"/>
    <w:rsid w:val="3C585050"/>
    <w:rsid w:val="3C892D6D"/>
    <w:rsid w:val="3CE32C1E"/>
    <w:rsid w:val="3CE5B477"/>
    <w:rsid w:val="3FC0CE2F"/>
    <w:rsid w:val="416FA9C8"/>
    <w:rsid w:val="4179FB64"/>
    <w:rsid w:val="42705174"/>
    <w:rsid w:val="42955B24"/>
    <w:rsid w:val="42F8D745"/>
    <w:rsid w:val="430B7A29"/>
    <w:rsid w:val="43FEEAF0"/>
    <w:rsid w:val="445ADE32"/>
    <w:rsid w:val="46EC8D6B"/>
    <w:rsid w:val="489E8D24"/>
    <w:rsid w:val="491F3063"/>
    <w:rsid w:val="4C86912E"/>
    <w:rsid w:val="4D5EABEB"/>
    <w:rsid w:val="4E8808BF"/>
    <w:rsid w:val="4F4FA216"/>
    <w:rsid w:val="4FAA7740"/>
    <w:rsid w:val="514647A1"/>
    <w:rsid w:val="52E5A324"/>
    <w:rsid w:val="53425185"/>
    <w:rsid w:val="5461E30A"/>
    <w:rsid w:val="54B86DA9"/>
    <w:rsid w:val="55A8AD44"/>
    <w:rsid w:val="57213667"/>
    <w:rsid w:val="57B58925"/>
    <w:rsid w:val="57E38213"/>
    <w:rsid w:val="5AE83106"/>
    <w:rsid w:val="5B1B22D5"/>
    <w:rsid w:val="5C840167"/>
    <w:rsid w:val="5C8F0D3D"/>
    <w:rsid w:val="5F78C71F"/>
    <w:rsid w:val="5FDC4340"/>
    <w:rsid w:val="605988D3"/>
    <w:rsid w:val="64A8DCBE"/>
    <w:rsid w:val="654C8712"/>
    <w:rsid w:val="661BC4BB"/>
    <w:rsid w:val="66A407F5"/>
    <w:rsid w:val="671DC980"/>
    <w:rsid w:val="697C4DE1"/>
    <w:rsid w:val="6ABBDE6D"/>
    <w:rsid w:val="6AD60D81"/>
    <w:rsid w:val="6BF08331"/>
    <w:rsid w:val="6C175A90"/>
    <w:rsid w:val="6D8C5392"/>
    <w:rsid w:val="72541984"/>
    <w:rsid w:val="72E11F66"/>
    <w:rsid w:val="74489985"/>
    <w:rsid w:val="744933AF"/>
    <w:rsid w:val="7827B03D"/>
    <w:rsid w:val="791CD16B"/>
    <w:rsid w:val="79B02E42"/>
    <w:rsid w:val="7AEAACDE"/>
    <w:rsid w:val="7B5F50FF"/>
    <w:rsid w:val="7C2108E0"/>
    <w:rsid w:val="7C589A7C"/>
    <w:rsid w:val="7CCA453E"/>
    <w:rsid w:val="7D480887"/>
    <w:rsid w:val="7D7BC49F"/>
    <w:rsid w:val="7DF8037B"/>
    <w:rsid w:val="7E11907F"/>
    <w:rsid w:val="7E7EA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F795B"/>
  <w15:docId w15:val="{74AB655F-18EE-4FD6-B16A-ECCA57A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5C7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C7B"/>
  </w:style>
  <w:style w:type="paragraph" w:styleId="Zpat">
    <w:name w:val="footer"/>
    <w:basedOn w:val="Normln"/>
    <w:link w:val="ZpatChar"/>
    <w:uiPriority w:val="99"/>
    <w:unhideWhenUsed/>
    <w:rsid w:val="001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C7B"/>
  </w:style>
  <w:style w:type="paragraph" w:customStyle="1" w:styleId="Default">
    <w:name w:val="Default"/>
    <w:rsid w:val="00105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5C7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71806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WB-Fußnotentext,FoodNote,ft,Footnote text,Footnote,Footnote Text Char1,Footnote Text Char Char,Footnote Text Char1 Char Char,Footnote Text Char Char Char Char,f,fn,Schriftart: 10"/>
    <w:basedOn w:val="Normln"/>
    <w:link w:val="TextpoznpodarouChar"/>
    <w:uiPriority w:val="99"/>
    <w:unhideWhenUsed/>
    <w:rsid w:val="00CB75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WB-Fußnotentext Char,FoodNote Char,ft Char,Footnote text Char,Footnote Char,Footnote Text Char1 Char,Footnote Text Char Char Char,f Char,fn Char"/>
    <w:basedOn w:val="Standardnpsmoodstavce"/>
    <w:link w:val="Textpoznpodarou"/>
    <w:uiPriority w:val="99"/>
    <w:rsid w:val="00CB75F6"/>
    <w:rPr>
      <w:sz w:val="20"/>
      <w:szCs w:val="20"/>
    </w:rPr>
  </w:style>
  <w:style w:type="character" w:styleId="Znakapoznpodarou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basedOn w:val="Standardnpsmoodstavce"/>
    <w:link w:val="1"/>
    <w:uiPriority w:val="99"/>
    <w:unhideWhenUsed/>
    <w:rsid w:val="00CB75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C4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B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BF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60B6F"/>
    <w:rPr>
      <w:color w:val="808080"/>
    </w:rPr>
  </w:style>
  <w:style w:type="paragraph" w:customStyle="1" w:styleId="1">
    <w:name w:val="1"/>
    <w:basedOn w:val="Normln"/>
    <w:link w:val="Znakapoznpodarou"/>
    <w:autoRedefine/>
    <w:uiPriority w:val="99"/>
    <w:qFormat/>
    <w:rsid w:val="00060370"/>
    <w:pPr>
      <w:spacing w:after="0" w:line="240" w:lineRule="auto"/>
      <w:jc w:val="both"/>
    </w:pPr>
    <w:rPr>
      <w:vertAlign w:val="superscript"/>
    </w:rPr>
  </w:style>
  <w:style w:type="paragraph" w:customStyle="1" w:styleId="text-justify">
    <w:name w:val="text-justify"/>
    <w:basedOn w:val="Normln"/>
    <w:rsid w:val="007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evyeenzmnka">
    <w:name w:val="Unresolved Mention"/>
    <w:basedOn w:val="Standardnpsmoodstavce"/>
    <w:uiPriority w:val="99"/>
    <w:unhideWhenUsed/>
    <w:rsid w:val="00652469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52469"/>
    <w:rPr>
      <w:color w:val="2B579A"/>
      <w:shd w:val="clear" w:color="auto" w:fill="E1DFDD"/>
    </w:rPr>
  </w:style>
  <w:style w:type="character" w:customStyle="1" w:styleId="font-size-14">
    <w:name w:val="font-size-14"/>
    <w:basedOn w:val="Standardnpsmoodstavce"/>
    <w:rsid w:val="00FE60A5"/>
  </w:style>
  <w:style w:type="character" w:customStyle="1" w:styleId="value">
    <w:name w:val="value"/>
    <w:basedOn w:val="Standardnpsmoodstavce"/>
    <w:rsid w:val="00251B9B"/>
  </w:style>
  <w:style w:type="paragraph" w:customStyle="1" w:styleId="CharChar1Char1CharChar">
    <w:name w:val="Char Char1 Char1 Char Char"/>
    <w:basedOn w:val="Normln"/>
    <w:uiPriority w:val="99"/>
    <w:rsid w:val="003818F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9B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8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f.czu.cz/en" TargetMode="External"/><Relationship Id="rId18" Type="http://schemas.openxmlformats.org/officeDocument/2006/relationships/hyperlink" Target="https://www.tf.czu.cz/en/r-9405-projects-and-partnerships/r-10375-projects/r-18028-research-and-development-of-smart-farming-technologies-for-small-and-medium-sized-farm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zechaid.cz/en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tf.czu.cz/en/r-9405-projects-and-partnerships/r-10375-projects/r-18040-r-d-of-working-tools-of-agricultural-machiner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f.czu.cz/en/r-9405-projects-and-partnerships/r-10375-projects/r-18030-modularity-of-agricultural-machinery-supported-by-advanced-manufacturing-technologies" TargetMode="External"/><Relationship Id="rId20" Type="http://schemas.openxmlformats.org/officeDocument/2006/relationships/hyperlink" Target="https://www.tf.czu.cz/en/r-9405-projects-and-partnerships/r-10375-projects/r-18029-r-d-of-a-technological-line-for-coconut-processi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f.czu.cz/en/r-9405-projects-and-partnerships/r-10375-projects/r-18042-the-digital-twin-of-the-agricultural-machine" TargetMode="External"/><Relationship Id="rId23" Type="http://schemas.openxmlformats.org/officeDocument/2006/relationships/hyperlink" Target="mailto:ruzickova@tf.czu.cz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tf.czu.cz/en/r-9405-projects-and-partnerships/r-10375-projects/r-18032-research-of-the-systems-for-increasing-soil-tillage-energy-efficien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f.czu.cz/en/r-9405-projects-and-partnerships/r-10375-projects/r-18003-national-scientific-projects" TargetMode="External"/><Relationship Id="rId22" Type="http://schemas.openxmlformats.org/officeDocument/2006/relationships/hyperlink" Target="https://www.nicopa.eu/" TargetMode="External"/><Relationship Id="rId27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131B9E3-1ED7-4419-82BF-90F3990406BC}">
    <t:Anchor>
      <t:Comment id="2010736419"/>
    </t:Anchor>
    <t:History>
      <t:Event id="{6F3AC080-4361-448D-A9CD-2028D22256CC}" time="2022-04-28T14:28:55.513Z">
        <t:Attribution userId="S::katinas@tf.czu.cz::bba053ff-f61f-43a7-a7ab-fb3b0b6e1b1e" userProvider="AD" userName="Katinas Egidijus"/>
        <t:Anchor>
          <t:Comment id="2010736419"/>
        </t:Anchor>
        <t:Create/>
      </t:Event>
      <t:Event id="{F91442CC-8D65-4C09-AE51-D629C3494BB6}" time="2022-04-28T14:28:55.513Z">
        <t:Attribution userId="S::katinas@tf.czu.cz::bba053ff-f61f-43a7-a7ab-fb3b0b6e1b1e" userProvider="AD" userName="Katinas Egidijus"/>
        <t:Anchor>
          <t:Comment id="2010736419"/>
        </t:Anchor>
        <t:Assign userId="S::kumhala@tf.czu.cz::5b2daba4-f7f6-4bee-9a45-2b0305122fcd" userProvider="AD" userName="Kumhála František"/>
      </t:Event>
      <t:Event id="{BFB64F6E-E220-46F1-BDA4-4BC87871FD3F}" time="2022-04-28T14:28:55.513Z">
        <t:Attribution userId="S::katinas@tf.czu.cz::bba053ff-f61f-43a7-a7ab-fb3b0b6e1b1e" userProvider="AD" userName="Katinas Egidijus"/>
        <t:Anchor>
          <t:Comment id="2010736419"/>
        </t:Anchor>
        <t:SetTitle title="@Kumhála František Rheological properties of food and agriculture crops. Do we have posibility to measure it in our university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9A04200CC014485011F2F33D78C32" ma:contentTypeVersion="7" ma:contentTypeDescription="Vytvoří nový dokument" ma:contentTypeScope="" ma:versionID="008ecf1f25327d119f1afa51c0d3cb85">
  <xsd:schema xmlns:xsd="http://www.w3.org/2001/XMLSchema" xmlns:xs="http://www.w3.org/2001/XMLSchema" xmlns:p="http://schemas.microsoft.com/office/2006/metadata/properties" xmlns:ns2="873b1a14-4ac1-4b00-bcdd-96a7812143a9" xmlns:ns3="79f934ae-fd66-449b-b2c2-0c7073a64555" targetNamespace="http://schemas.microsoft.com/office/2006/metadata/properties" ma:root="true" ma:fieldsID="b007b8e3e4355e92278910c11d484e2b" ns2:_="" ns3:_="">
    <xsd:import namespace="873b1a14-4ac1-4b00-bcdd-96a7812143a9"/>
    <xsd:import namespace="79f934ae-fd66-449b-b2c2-0c7073a64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1a14-4ac1-4b00-bcdd-96a781214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34ae-fd66-449b-b2c2-0c7073a6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D20195BB-DE16-42E9-A8AA-7D810D183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1a14-4ac1-4b00-bcdd-96a7812143a9"/>
    <ds:schemaRef ds:uri="79f934ae-fd66-449b-b2c2-0c7073a64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03950-6B77-4541-8FF3-EC0232B8E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D602C-B930-4B8A-8EF4-B40A8003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279F9-A01E-4D94-9C47-7F998FA4B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AE657A-39D2-424A-8F29-E6F6FFBDFD74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2355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Růžičková Pavlína</cp:lastModifiedBy>
  <cp:revision>21</cp:revision>
  <dcterms:created xsi:type="dcterms:W3CDTF">2022-04-27T09:42:00Z</dcterms:created>
  <dcterms:modified xsi:type="dcterms:W3CDTF">2022-05-06T08:33:00Z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0x010100BE09A04200CC014485011F2F33D78C32</vt:lpwstr>
  </property>
</Properties>
</file>